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bookmarkStart w:id="295" w:name="_GoBack"/>
      <w:bookmarkEnd w:id="295"/>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HZGSCG2025-030</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blPrEx>
          <w:tblCellMar>
            <w:top w:w="0" w:type="dxa"/>
            <w:left w:w="108" w:type="dxa"/>
            <w:bottom w:w="0" w:type="dxa"/>
            <w:right w:w="108" w:type="dxa"/>
          </w:tblCellMar>
        </w:tblPrEx>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23496"/>
      <w:bookmarkStart w:id="1" w:name="_Toc20539"/>
      <w:bookmarkStart w:id="2" w:name="_Toc6685"/>
      <w:bookmarkStart w:id="3" w:name="_Toc452528596"/>
      <w:bookmarkStart w:id="4" w:name="_Toc23025"/>
      <w:bookmarkStart w:id="5" w:name="_Toc496962940"/>
      <w:bookmarkStart w:id="6" w:name="_Toc15588"/>
      <w:bookmarkStart w:id="7" w:name="_Toc7039"/>
      <w:bookmarkStart w:id="8" w:name="_Toc14209"/>
      <w:bookmarkStart w:id="9" w:name="_Toc25402"/>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31927"/>
      <w:bookmarkStart w:id="12" w:name="_Toc452528597"/>
      <w:bookmarkStart w:id="13" w:name="_Toc8911"/>
      <w:bookmarkStart w:id="14" w:name="_Toc13906"/>
      <w:bookmarkStart w:id="15" w:name="_Toc6194"/>
      <w:bookmarkStart w:id="16" w:name="_Toc17418"/>
      <w:bookmarkStart w:id="17" w:name="_Toc25382"/>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龙游华水水业发展有限公司申报高新技术企业知识产权服务项目</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8</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14</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16:00</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HZGSCG2025-030</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龙游华水水业发展有限公司申报高新技术企业知识产权服务项目</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申报高新技术企业知识产权服务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13</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14</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14</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16:00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8</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496962942"/>
      <w:bookmarkStart w:id="19" w:name="_Toc1233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c__506404128_"/>
      <w:bookmarkStart w:id="23" w:name="_Toc86516849"/>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cs="宋体"/>
          <w:color w:val="000000" w:themeColor="text1"/>
          <w:sz w:val="22"/>
          <w:szCs w:val="22"/>
          <w:highlight w:val="none"/>
          <w:lang w:eastAsia="zh-CN"/>
          <w14:textFill>
            <w14:solidFill>
              <w14:schemeClr w14:val="tx1"/>
            </w14:solidFill>
          </w14:textFill>
        </w:rPr>
        <w:t>龙游华水水业发展有限公司申报高新技术企业知识产权服务项目</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cs="宋体"/>
          <w:color w:val="000000" w:themeColor="text1"/>
          <w:sz w:val="22"/>
          <w:szCs w:val="22"/>
          <w:highlight w:val="none"/>
          <w:lang w:eastAsia="zh-CN"/>
          <w14:textFill>
            <w14:solidFill>
              <w14:schemeClr w14:val="tx1"/>
            </w14:solidFill>
          </w14:textFill>
        </w:rPr>
        <w:t>50000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22745FB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1.主要为获得专利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p>
    <w:p w14:paraId="0126F45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2.中标人提供（1）知识产权申请服务。知识产权申请文件的成稿、申请；及时答复相关补正或审查意见，必要时出面会晤或出庭辩论；</w:t>
      </w:r>
    </w:p>
    <w:p w14:paraId="24691BA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（2）知识产权管理服务。知识产权代理机构需配备专职联系人，按时收转并妥善管理所有相关文件，监控并代缴申请费、实质审查费、授权登记等相关费用；</w:t>
      </w:r>
    </w:p>
    <w:p w14:paraId="1270CD4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（3）知识产权咨询服务。专利申请及相关问题的一般性咨询。</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02BFF12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40" w:firstLineChars="200"/>
        <w:jc w:val="both"/>
        <w:textAlignment w:val="auto"/>
        <w:outlineLvl w:val="1"/>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0CBD371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四、中标人编制成果服务质量要求</w:t>
      </w:r>
    </w:p>
    <w:p w14:paraId="7A7A96B4">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1.对 GB/T 21374《知识产权文件和信息》、GB/T 29490《企业知识产权管理规范》等专利相关规范有深度理解，能够依据基础资料撰写高质量国内外专利。</w:t>
      </w:r>
    </w:p>
    <w:p w14:paraId="64EDF4B6">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2.为招标人提供专利前期辅导咨询、资料准备、资料撰写、企业申报过程及通过并获得发明专利证书等技术服务。</w:t>
      </w:r>
    </w:p>
    <w:p w14:paraId="4A7738A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3.▲专利服务提供“全托管一站式服务”，且服务机构具有专利代理职业资质，配备专利代理人及专利工程师。</w:t>
      </w:r>
    </w:p>
    <w:p w14:paraId="23C2D06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五</w:t>
      </w:r>
      <w:r>
        <w:rPr>
          <w:rFonts w:hint="eastAsia" w:ascii="宋体" w:hAnsi="宋体" w:cs="宋体"/>
          <w:b/>
          <w:bCs/>
          <w:color w:val="000000" w:themeColor="text1"/>
          <w:sz w:val="28"/>
          <w:szCs w:val="28"/>
          <w:highlight w:val="none"/>
          <w14:textFill>
            <w14:solidFill>
              <w14:schemeClr w14:val="tx1"/>
            </w14:solidFill>
          </w14:textFill>
        </w:rPr>
        <w:t>、 甲乙双方约定</w:t>
      </w:r>
    </w:p>
    <w:p w14:paraId="1BC05B9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双方应互相尊重对方的知识产权和技术秘密，不得向第三方转让和泄露对方的技术文件、技术参数和操作要领等信息。</w:t>
      </w:r>
    </w:p>
    <w:p w14:paraId="1337521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专利申请人为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，发明人均为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员工。</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242B148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cs="宋体"/>
          <w:color w:val="000000" w:themeColor="text1"/>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16595"/>
      <w:bookmarkStart w:id="26" w:name="_Toc452528598"/>
      <w:bookmarkStart w:id="27" w:name="_Toc6666"/>
      <w:bookmarkStart w:id="28" w:name="_Toc30710"/>
      <w:bookmarkStart w:id="29" w:name="_Toc30283"/>
      <w:bookmarkStart w:id="30" w:name="_Toc32308"/>
      <w:bookmarkStart w:id="31" w:name="_Toc12268"/>
      <w:bookmarkStart w:id="32" w:name="_Toc496962943"/>
      <w:bookmarkStart w:id="33" w:name="_Toc2802"/>
      <w:bookmarkStart w:id="34" w:name="_Toc8079"/>
      <w:bookmarkStart w:id="35" w:name="_Toc16910"/>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361434459"/>
            <w:bookmarkStart w:id="37" w:name="_Toc361437144"/>
            <w:bookmarkStart w:id="38" w:name="_Toc361434798"/>
            <w:bookmarkStart w:id="39" w:name="_Toc361434894"/>
            <w:bookmarkStart w:id="40" w:name="_Toc361434558"/>
            <w:bookmarkStart w:id="41" w:name="_Toc101321790"/>
            <w:bookmarkStart w:id="42" w:name="_Toc4691"/>
            <w:bookmarkStart w:id="43" w:name="_Toc13152"/>
            <w:bookmarkStart w:id="44" w:name="_Toc28990"/>
            <w:bookmarkStart w:id="45" w:name="_Toc25723"/>
            <w:bookmarkStart w:id="46" w:name="_Toc1265"/>
            <w:bookmarkStart w:id="47" w:name="_Toc455"/>
            <w:bookmarkStart w:id="48" w:name="_Toc11611"/>
            <w:bookmarkStart w:id="49" w:name="_Toc1125"/>
            <w:bookmarkStart w:id="50" w:name="_Toc31666"/>
            <w:bookmarkStart w:id="51" w:name="_Toc23442"/>
            <w:bookmarkStart w:id="52" w:name="_Toc452528599"/>
            <w:bookmarkStart w:id="53" w:name="_Toc5990"/>
            <w:bookmarkStart w:id="54" w:name="_Toc11475"/>
            <w:bookmarkStart w:id="55" w:name="_Toc7346"/>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龙游华水水业发展有限公司申报高新技术企业知识产权服务项目</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HZGSCG2025-030</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50000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9"/>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50000元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4405"/>
      <w:bookmarkStart w:id="58" w:name="_Toc11684"/>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22988"/>
      <w:bookmarkStart w:id="60" w:name="_Toc18109"/>
      <w:bookmarkStart w:id="61" w:name="_Toc27505"/>
      <w:bookmarkStart w:id="62" w:name="_Toc452528601"/>
      <w:bookmarkStart w:id="63" w:name="_Toc6387"/>
      <w:bookmarkStart w:id="64" w:name="_Toc17993"/>
      <w:bookmarkStart w:id="65" w:name="_Toc361434461"/>
      <w:bookmarkStart w:id="66" w:name="_Toc21667"/>
      <w:bookmarkStart w:id="67" w:name="_Toc361437146"/>
      <w:bookmarkStart w:id="68" w:name="_Toc16765"/>
      <w:bookmarkStart w:id="69" w:name="_Toc361434896"/>
      <w:bookmarkStart w:id="70" w:name="_Toc28424"/>
      <w:bookmarkStart w:id="71" w:name="_Toc29206"/>
      <w:bookmarkStart w:id="72" w:name="_Toc992"/>
      <w:bookmarkStart w:id="73" w:name="_Toc361434800"/>
      <w:bookmarkStart w:id="74" w:name="_Toc31950"/>
      <w:bookmarkStart w:id="75" w:name="_Toc17470"/>
      <w:bookmarkStart w:id="76" w:name="_Toc26291"/>
      <w:bookmarkStart w:id="77" w:name="_Toc361434560"/>
      <w:bookmarkStart w:id="78" w:name="_Toc101321792"/>
      <w:bookmarkStart w:id="79" w:name="_Toc17637"/>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1372777"/>
      <w:bookmarkStart w:id="82" w:name="_Toc84325930"/>
      <w:bookmarkStart w:id="83" w:name="_Toc81372954"/>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452528603"/>
      <w:bookmarkStart w:id="89" w:name="_Toc6960"/>
      <w:bookmarkStart w:id="90" w:name="_Toc28496"/>
      <w:bookmarkStart w:id="91" w:name="_Toc31886"/>
      <w:bookmarkStart w:id="92" w:name="_Toc361434803"/>
      <w:bookmarkStart w:id="93" w:name="_Toc361434563"/>
      <w:bookmarkStart w:id="94" w:name="_Toc361434464"/>
      <w:bookmarkStart w:id="95" w:name="_Toc25346"/>
      <w:bookmarkStart w:id="96" w:name="_Toc361437149"/>
      <w:bookmarkStart w:id="97" w:name="_Toc19458"/>
      <w:bookmarkStart w:id="98" w:name="_Toc32384"/>
      <w:bookmarkStart w:id="99" w:name="_Toc361434899"/>
      <w:bookmarkStart w:id="100" w:name="_Toc27740"/>
      <w:bookmarkStart w:id="101" w:name="_Toc10294"/>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947"/>
      <w:bookmarkStart w:id="103" w:name="_Toc1723"/>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3207"/>
      <w:bookmarkStart w:id="109" w:name="_Toc452528606"/>
      <w:bookmarkStart w:id="110" w:name="_Toc361434467"/>
      <w:bookmarkStart w:id="111" w:name="_Toc361437152"/>
      <w:bookmarkStart w:id="112" w:name="_Toc361434566"/>
      <w:bookmarkStart w:id="113" w:name="_Toc361434806"/>
      <w:bookmarkStart w:id="114" w:name="_Toc361434902"/>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536419198"/>
      <w:bookmarkStart w:id="117" w:name="_Toc536419157"/>
      <w:bookmarkStart w:id="118" w:name="_Toc46737189"/>
      <w:bookmarkStart w:id="119" w:name="_Toc46749578"/>
      <w:bookmarkStart w:id="120" w:name="_Toc47949623"/>
      <w:bookmarkStart w:id="121" w:name="_Toc47953423"/>
      <w:bookmarkStart w:id="122" w:name="_Toc46733326"/>
      <w:bookmarkStart w:id="123" w:name="_Toc64088050"/>
      <w:bookmarkStart w:id="124" w:name="_Toc47867187"/>
      <w:bookmarkStart w:id="125" w:name="_Toc536418876"/>
      <w:bookmarkStart w:id="126" w:name="_Toc47867042"/>
      <w:bookmarkStart w:id="127" w:name="_Toc48124325"/>
      <w:bookmarkStart w:id="128" w:name="_Toc46111068"/>
      <w:bookmarkStart w:id="129" w:name="_Toc46732795"/>
      <w:bookmarkStart w:id="130" w:name="_Toc47951932"/>
      <w:bookmarkStart w:id="131" w:name="_Toc46746637"/>
      <w:bookmarkStart w:id="132" w:name="_Toc46808613"/>
      <w:bookmarkStart w:id="133" w:name="_Toc89661111"/>
      <w:bookmarkStart w:id="134" w:name="_Toc46735213"/>
      <w:bookmarkStart w:id="135" w:name="_Toc81372956"/>
      <w:bookmarkStart w:id="136" w:name="_Toc47170189"/>
      <w:bookmarkStart w:id="137" w:name="_Toc47170338"/>
      <w:bookmarkStart w:id="138" w:name="_Toc47835378"/>
      <w:bookmarkStart w:id="139" w:name="_Toc47953669"/>
      <w:bookmarkStart w:id="140" w:name="_Toc46733600"/>
      <w:bookmarkStart w:id="141" w:name="_Toc68661582"/>
      <w:bookmarkStart w:id="142" w:name="_Toc47946303"/>
      <w:bookmarkStart w:id="143" w:name="_Toc48128598"/>
      <w:bookmarkStart w:id="144" w:name="_Toc153441910"/>
      <w:bookmarkStart w:id="145" w:name="_Toc68936511"/>
      <w:bookmarkStart w:id="146" w:name="_Toc84325932"/>
      <w:bookmarkStart w:id="147" w:name="_Toc47953546"/>
      <w:bookmarkStart w:id="148" w:name="_Toc47171678"/>
      <w:bookmarkStart w:id="149" w:name="_Toc46746367"/>
      <w:bookmarkStart w:id="150" w:name="_Toc47946456"/>
      <w:bookmarkStart w:id="151" w:name="_Toc153725"/>
      <w:bookmarkStart w:id="152" w:name="_Toc536419058"/>
      <w:bookmarkStart w:id="153" w:name="_Toc536418606"/>
      <w:bookmarkStart w:id="154" w:name="_Toc47866240"/>
      <w:bookmarkStart w:id="155" w:name="_Toc81372779"/>
      <w:bookmarkStart w:id="156" w:name="_Toc468451908"/>
      <w:bookmarkStart w:id="157" w:name="_Toc80157768"/>
      <w:bookmarkStart w:id="158" w:name="_Toc48124444"/>
      <w:bookmarkStart w:id="159" w:name="_Toc64259789"/>
      <w:bookmarkStart w:id="160" w:name="_Toc47950172"/>
      <w:bookmarkStart w:id="161" w:name="_Toc47866897"/>
      <w:bookmarkStart w:id="162" w:name="_Toc47759351"/>
      <w:bookmarkStart w:id="163" w:name="_Toc7322054"/>
      <w:bookmarkStart w:id="164" w:name="_Toc7323822"/>
      <w:bookmarkStart w:id="165" w:name="_Toc177202001"/>
      <w:bookmarkStart w:id="166" w:name="_Toc46734666"/>
      <w:bookmarkStart w:id="167" w:name="_Toc47946150"/>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496962967"/>
      <w:bookmarkStart w:id="170" w:name="_Toc22652"/>
      <w:bookmarkStart w:id="171" w:name="_Toc26567"/>
      <w:bookmarkStart w:id="172" w:name="_Toc28227"/>
      <w:bookmarkStart w:id="173" w:name="_Toc84325981"/>
      <w:bookmarkStart w:id="174" w:name="_Toc81372787"/>
      <w:bookmarkStart w:id="175" w:name="_Toc27635"/>
      <w:bookmarkStart w:id="176" w:name="_Toc81372964"/>
      <w:bookmarkStart w:id="177" w:name="_Toc452528635"/>
      <w:bookmarkStart w:id="178" w:name="_Toc80157775"/>
      <w:bookmarkStart w:id="179" w:name="_Toc921"/>
      <w:bookmarkStart w:id="180" w:name="_Toc29072"/>
      <w:bookmarkStart w:id="181" w:name="_Toc361434904"/>
      <w:bookmarkStart w:id="182" w:name="_Toc28302"/>
      <w:bookmarkStart w:id="183" w:name="_Toc19247"/>
      <w:bookmarkStart w:id="184" w:name="_Toc101321800"/>
      <w:bookmarkStart w:id="185" w:name="_Toc30101"/>
      <w:bookmarkStart w:id="186" w:name="_Toc361434808"/>
      <w:bookmarkStart w:id="187" w:name="_Toc361437154"/>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11344"/>
      <w:bookmarkStart w:id="189" w:name="_Toc669"/>
      <w:bookmarkStart w:id="190" w:name="_Toc26052"/>
      <w:bookmarkStart w:id="191" w:name="_Toc25400"/>
      <w:bookmarkStart w:id="192" w:name="_Toc26326"/>
      <w:bookmarkStart w:id="193" w:name="_Toc16767"/>
      <w:bookmarkStart w:id="194" w:name="_Toc25106"/>
      <w:bookmarkStart w:id="195" w:name="_Toc28685"/>
      <w:bookmarkStart w:id="196" w:name="_Toc16629"/>
      <w:bookmarkStart w:id="197" w:name="_Toc20104"/>
      <w:bookmarkStart w:id="198" w:name="_Toc31766"/>
      <w:bookmarkStart w:id="199" w:name="_Toc21578"/>
      <w:bookmarkStart w:id="200" w:name="_Toc491930997"/>
      <w:bookmarkStart w:id="201" w:name="_Toc2984"/>
      <w:bookmarkStart w:id="202" w:name="_Toc12461"/>
      <w:bookmarkStart w:id="203" w:name="_Toc23667"/>
      <w:bookmarkStart w:id="204" w:name="_Toc16406"/>
      <w:bookmarkStart w:id="205" w:name="_Toc12934"/>
      <w:bookmarkStart w:id="206" w:name="_Toc1726"/>
      <w:bookmarkStart w:id="207" w:name="_Toc10074"/>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6099"/>
      <w:bookmarkStart w:id="210" w:name="_Toc1298"/>
      <w:bookmarkStart w:id="211" w:name="_Toc26874"/>
      <w:bookmarkStart w:id="212" w:name="_Toc14692"/>
      <w:bookmarkStart w:id="213" w:name="_Toc21456"/>
      <w:bookmarkStart w:id="214" w:name="_Toc4640"/>
      <w:bookmarkStart w:id="215" w:name="_Toc26018"/>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19038"/>
      <w:bookmarkStart w:id="217" w:name="_Toc28403"/>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7620"/>
      <w:bookmarkStart w:id="219" w:name="_Toc15917"/>
      <w:bookmarkStart w:id="220" w:name="_Toc27334"/>
      <w:bookmarkStart w:id="221" w:name="_Toc4403"/>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22196"/>
      <w:bookmarkStart w:id="224" w:name="_Toc7315"/>
      <w:bookmarkStart w:id="225" w:name="_Toc19211"/>
      <w:bookmarkStart w:id="226" w:name="_Toc22814"/>
      <w:bookmarkStart w:id="227" w:name="_Toc11224"/>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0"/>
        <w:gridCol w:w="1535"/>
        <w:gridCol w:w="5961"/>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71"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273"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71"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273"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60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842"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273"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业绩的，每个成功案例得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提供项目合同及合同内对应的专利授权书原件复印件，证明材料需加盖公章</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公司人员配备情况</w:t>
            </w:r>
          </w:p>
        </w:tc>
        <w:tc>
          <w:tcPr>
            <w:tcW w:w="3273" w:type="pct"/>
            <w:noWrap w:val="0"/>
            <w:tcMar>
              <w:top w:w="113" w:type="dxa"/>
              <w:left w:w="113" w:type="dxa"/>
              <w:bottom w:w="113" w:type="dxa"/>
              <w:right w:w="113" w:type="dxa"/>
            </w:tcMar>
            <w:vAlign w:val="top"/>
          </w:tcPr>
          <w:p w14:paraId="426EEFBC">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每提供一个专利代理师职业证书复印件得2分，最高得6分；</w:t>
            </w:r>
          </w:p>
          <w:p w14:paraId="10F65AF4">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提供专利代理师其它相关证书（中级证书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分/个，高级证书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分/个，最高</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p>
          <w:p w14:paraId="2160B458">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注：同一人相同类型证书以最高等级计分，证明材料均需提供原件复印件，项目配备人员均需提供至少三个月的社保证明，否则不得分。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28"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发明专利授权率</w:t>
            </w:r>
          </w:p>
        </w:tc>
        <w:tc>
          <w:tcPr>
            <w:tcW w:w="3273" w:type="pct"/>
            <w:noWrap w:val="0"/>
            <w:tcMar>
              <w:top w:w="113" w:type="dxa"/>
              <w:left w:w="113" w:type="dxa"/>
              <w:bottom w:w="113" w:type="dxa"/>
              <w:right w:w="113" w:type="dxa"/>
            </w:tcMar>
            <w:vAlign w:val="top"/>
          </w:tcPr>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2022年1月1日至今发明专利授权率：投标单位授权率最高的为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分，授权率第二为1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分，授权率第三为1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分，以公差为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依次递减。发明专利授权率提供详细的专利清单列表以及相关网站查询截图为准。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实施方案</w:t>
            </w:r>
          </w:p>
        </w:tc>
        <w:tc>
          <w:tcPr>
            <w:tcW w:w="3273" w:type="pct"/>
            <w:noWrap w:val="0"/>
            <w:tcMar>
              <w:top w:w="113" w:type="dxa"/>
              <w:left w:w="113" w:type="dxa"/>
              <w:bottom w:w="113" w:type="dxa"/>
              <w:right w:w="113" w:type="dxa"/>
            </w:tcMar>
            <w:vAlign w:val="top"/>
          </w:tcPr>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实施方案：根据实施计划（0-7）、进度安排（0-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分）、人员分工（0-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）等的详尽程度等，由评委进行横向对比打分，未提供不得分。</w:t>
            </w:r>
          </w:p>
        </w:tc>
        <w:tc>
          <w:tcPr>
            <w:tcW w:w="455" w:type="pct"/>
            <w:noWrap w:val="0"/>
            <w:tcMar>
              <w:top w:w="113" w:type="dxa"/>
              <w:left w:w="113" w:type="dxa"/>
              <w:bottom w:w="113" w:type="dxa"/>
              <w:right w:w="113" w:type="dxa"/>
            </w:tcMar>
            <w:vAlign w:val="top"/>
          </w:tcPr>
          <w:p w14:paraId="6ABB55EC">
            <w:pPr>
              <w:keepNext w:val="0"/>
              <w:keepLines w:val="0"/>
              <w:pageBreakBefore w:val="0"/>
              <w:kinsoku/>
              <w:wordWrap/>
              <w:topLinePunct w:val="0"/>
              <w:autoSpaceDE/>
              <w:autoSpaceDN/>
              <w:bidi w:val="0"/>
              <w:adjustRightInd w:val="0"/>
              <w:snapToGrid w:val="0"/>
              <w:spacing w:line="240" w:lineRule="auto"/>
              <w:ind w:left="0" w:right="0"/>
              <w:jc w:val="both"/>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21</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服务响应时间</w:t>
            </w:r>
          </w:p>
        </w:tc>
        <w:tc>
          <w:tcPr>
            <w:tcW w:w="3273"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投标人承诺接到采购人通知（电话）后，到现场时间≤1小时得1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分，大于1小时且小于2小时得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分，大于2小时且小于3小时的得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分，其余的不得分。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2BFC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7BE6781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5E36222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现场服务</w:t>
            </w:r>
          </w:p>
        </w:tc>
        <w:tc>
          <w:tcPr>
            <w:tcW w:w="3273" w:type="pct"/>
            <w:noWrap w:val="0"/>
            <w:tcMar>
              <w:top w:w="113" w:type="dxa"/>
              <w:left w:w="113" w:type="dxa"/>
              <w:bottom w:w="113" w:type="dxa"/>
              <w:right w:w="113" w:type="dxa"/>
            </w:tcMar>
            <w:vAlign w:val="top"/>
          </w:tcPr>
          <w:p w14:paraId="34F811F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投标人承诺每月至少能至企业现场对接1次的得1分，每月至少能至企业现场对接2次的得2分。承诺书格式自拟。</w:t>
            </w:r>
          </w:p>
        </w:tc>
        <w:tc>
          <w:tcPr>
            <w:tcW w:w="455" w:type="pct"/>
            <w:noWrap w:val="0"/>
            <w:tcMar>
              <w:top w:w="113" w:type="dxa"/>
              <w:left w:w="113" w:type="dxa"/>
              <w:bottom w:w="113" w:type="dxa"/>
              <w:right w:w="113" w:type="dxa"/>
            </w:tcMar>
            <w:vAlign w:val="center"/>
          </w:tcPr>
          <w:p w14:paraId="37B1D46B">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2</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18299"/>
      <w:bookmarkStart w:id="230" w:name="_Toc12274"/>
      <w:bookmarkStart w:id="231" w:name="_Toc18767"/>
      <w:bookmarkStart w:id="232" w:name="_Toc22982"/>
      <w:bookmarkStart w:id="233" w:name="_Toc12123"/>
      <w:bookmarkStart w:id="234" w:name="_Toc2562"/>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16607"/>
      <w:bookmarkStart w:id="236" w:name="_Toc16486"/>
      <w:bookmarkStart w:id="237" w:name="_Toc6488"/>
      <w:bookmarkStart w:id="238" w:name="_Toc3807"/>
      <w:bookmarkStart w:id="239" w:name="_Toc811"/>
      <w:bookmarkStart w:id="240" w:name="_Toc980"/>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948"/>
      <w:bookmarkStart w:id="242" w:name="_Toc14788"/>
      <w:bookmarkStart w:id="243" w:name="_Toc20873"/>
      <w:bookmarkStart w:id="244" w:name="_Toc8248"/>
      <w:bookmarkStart w:id="245" w:name="_Toc23028"/>
      <w:bookmarkStart w:id="246" w:name="_Toc21366"/>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117"/>
      <w:bookmarkStart w:id="248" w:name="_Toc3640"/>
      <w:bookmarkStart w:id="249" w:name="_Toc23784"/>
      <w:bookmarkStart w:id="250" w:name="_Toc16436"/>
      <w:bookmarkStart w:id="251" w:name="_Toc24495"/>
      <w:bookmarkStart w:id="252" w:name="_Toc5931"/>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361434807"/>
      <w:bookmarkStart w:id="254" w:name="_Toc11264"/>
      <w:bookmarkStart w:id="255" w:name="_Toc19132"/>
      <w:bookmarkStart w:id="256" w:name="_Toc30126"/>
      <w:bookmarkStart w:id="257" w:name="_Toc452528617"/>
      <w:bookmarkStart w:id="258" w:name="_Toc361437153"/>
      <w:bookmarkStart w:id="259" w:name="_Toc2631"/>
      <w:bookmarkStart w:id="260" w:name="_Toc3257"/>
      <w:bookmarkStart w:id="261" w:name="_Toc496962953"/>
      <w:bookmarkStart w:id="262" w:name="_Toc11514"/>
      <w:bookmarkStart w:id="263" w:name="_Toc24315"/>
      <w:bookmarkStart w:id="264" w:name="_Toc361434903"/>
      <w:bookmarkStart w:id="265" w:name="_Toc3898"/>
      <w:bookmarkStart w:id="266" w:name="_Toc15195"/>
      <w:bookmarkStart w:id="267" w:name="_Toc177202003"/>
      <w:bookmarkStart w:id="268" w:name="_Toc153441912"/>
      <w:bookmarkStart w:id="269" w:name="_Toc27645"/>
      <w:bookmarkStart w:id="270" w:name="_Toc496962968"/>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8726"/>
      <w:bookmarkStart w:id="272" w:name="_Toc3041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30341"/>
      <w:bookmarkStart w:id="274" w:name="_Toc210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20797"/>
      <w:bookmarkStart w:id="276" w:name="_Toc12571"/>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14990"/>
      <w:bookmarkStart w:id="280" w:name="_Toc23255"/>
      <w:bookmarkStart w:id="281" w:name="_Toc12492"/>
      <w:bookmarkStart w:id="282" w:name="_Toc24452"/>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28884"/>
      <w:bookmarkStart w:id="286" w:name="_Toc11662"/>
      <w:bookmarkStart w:id="287" w:name="_Toc11757"/>
      <w:bookmarkStart w:id="288" w:name="_Toc24619"/>
      <w:bookmarkStart w:id="289" w:name="_Toc6180"/>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2254"/>
      <w:bookmarkStart w:id="291" w:name="_Toc15121"/>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5053C1B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1.主要为获得</w:t>
      </w:r>
      <w:r>
        <w:rPr>
          <w:rFonts w:hint="eastAsia" w:ascii="宋体" w:hAnsi="宋体" w:cs="宋体"/>
          <w:color w:val="000000" w:themeColor="text1"/>
          <w:sz w:val="22"/>
          <w:szCs w:val="22"/>
          <w:highlight w:val="none"/>
          <w:lang w:val="en-US" w:eastAsia="zh-CN"/>
          <w14:textFill>
            <w14:solidFill>
              <w14:schemeClr w14:val="tx1"/>
            </w14:solidFill>
          </w14:textFill>
        </w:rPr>
        <w:t>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r>
        <w:rPr>
          <w:rFonts w:hint="eastAsia" w:ascii="宋体" w:hAnsi="宋体" w:eastAsia="宋体" w:cs="宋体"/>
          <w:color w:val="000000" w:themeColor="text1"/>
          <w:spacing w:val="-5"/>
          <w:sz w:val="22"/>
          <w:szCs w:val="22"/>
          <w14:textFill>
            <w14:solidFill>
              <w14:schemeClr w14:val="tx1"/>
            </w14:solidFill>
          </w14:textFill>
        </w:rPr>
        <w:t>。</w:t>
      </w:r>
    </w:p>
    <w:p w14:paraId="73A9C79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2.为招标人提供专利前期辅导咨询、资料准备、资料撰写、企业申报过程及通过并获得发明专利证书等技术服务。</w:t>
      </w:r>
    </w:p>
    <w:p w14:paraId="15C3B1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3.▲专利服务提供“全托管一站式服务 ”，且服务机构具有专利代理职业资质，配备专利代理人及专利工程师。</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3A1CCC0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outlineLvl w:val="1"/>
        <w:rPr>
          <w:rFonts w:hint="eastAsia" w:ascii="宋体" w:hAnsi="宋体" w:eastAsia="宋体" w:cs="宋体"/>
          <w:color w:val="000000" w:themeColor="text1"/>
          <w:spacing w:val="-5"/>
          <w:sz w:val="22"/>
          <w:szCs w:val="22"/>
          <w:lang w:val="en-US" w:eastAsia="zh-CN"/>
          <w14:textFill>
            <w14:solidFill>
              <w14:schemeClr w14:val="tx1"/>
            </w14:solidFill>
          </w14:textFill>
        </w:rPr>
      </w:pPr>
      <w:r>
        <w:rPr>
          <w:rFonts w:hint="eastAsia" w:ascii="宋体" w:hAnsi="宋体" w:eastAsia="宋体" w:cs="宋体"/>
          <w:color w:val="000000" w:themeColor="text1"/>
          <w:spacing w:val="-5"/>
          <w:sz w:val="22"/>
          <w:szCs w:val="22"/>
          <w:lang w:val="en-US" w:eastAsia="zh-CN"/>
          <w14:textFill>
            <w14:solidFill>
              <w14:schemeClr w14:val="tx1"/>
            </w14:solidFill>
          </w14:textFill>
        </w:rPr>
        <w:t>1.履行时间：</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227B71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36" w:firstLineChars="200"/>
        <w:jc w:val="both"/>
        <w:textAlignment w:val="auto"/>
        <w:outlineLvl w:val="9"/>
        <w:rPr>
          <w:rFonts w:ascii="仿宋" w:hAnsi="仿宋" w:eastAsia="仿宋" w:cs="仿宋"/>
          <w:color w:val="000000" w:themeColor="text1"/>
          <w:spacing w:val="-1"/>
          <w:sz w:val="24"/>
          <w:szCs w:val="24"/>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0C71DE1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35E2C4D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1.乙方应按招标文件规定向甲方提供服务</w:t>
      </w:r>
      <w:r>
        <w:rPr>
          <w:rFonts w:hint="eastAsia" w:ascii="宋体" w:hAnsi="宋体" w:eastAsia="宋体" w:cs="宋体"/>
          <w:color w:val="000000" w:themeColor="text1"/>
          <w:spacing w:val="-1"/>
          <w:sz w:val="22"/>
          <w:szCs w:val="22"/>
          <w:lang w:eastAsia="zh-CN"/>
          <w14:textFill>
            <w14:solidFill>
              <w14:schemeClr w14:val="tx1"/>
            </w14:solidFill>
          </w14:textFill>
        </w:rPr>
        <w:t>，</w:t>
      </w:r>
      <w:r>
        <w:rPr>
          <w:rFonts w:hint="eastAsia" w:ascii="宋体" w:hAnsi="宋体" w:eastAsia="宋体" w:cs="宋体"/>
          <w:color w:val="000000" w:themeColor="text1"/>
          <w:spacing w:val="-1"/>
          <w:sz w:val="22"/>
          <w:szCs w:val="22"/>
          <w14:textFill>
            <w14:solidFill>
              <w14:schemeClr w14:val="tx1"/>
            </w14:solidFill>
          </w14:textFill>
        </w:rPr>
        <w:t>要求在合同签订后一年内完成专利申报。</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2.乙方提供的服务成果在服务质量保证期内发生问题，乙方应负责免费提供后续服务。对达不到要求者，根据实际情况，经双方协商，可按以下办法处理：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3.乙方逾期完成专利申请的，乙方应按逾期时付款总额每日千分之六向甲方支付违约金，由甲方从待付款中扣除。逾期超过约定日期 10 个工作日不能完成的，甲方可解除本合同。乙方因逾期完成或因其他违约行为导致甲方解除合同的，乙方应向甲方支付合同总值 5%的违约金，如造成甲方损失超过违约金的，超出部 分由乙方继续承担赔偿责任。</w:t>
      </w:r>
    </w:p>
    <w:p w14:paraId="7FB0814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4.乙方申请的专利质量不符合合同规定及采购文件规定标准的，甲方有权拒收，乙方愿意重新申请但逾期完成的，按乙方逾期完成处理。乙方拒绝重新申请的，甲方可单方面解除合同。</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cs="宋体"/>
          <w:color w:val="000000" w:themeColor="text1"/>
          <w:spacing w:val="-2"/>
          <w:sz w:val="22"/>
          <w:szCs w:val="22"/>
          <w:lang w:val="en-US" w:eastAsia="zh-CN"/>
          <w14:textFill>
            <w14:solidFill>
              <w14:schemeClr w14:val="tx1"/>
            </w14:solidFill>
          </w14:textFill>
        </w:rPr>
        <w:t>5</w:t>
      </w:r>
      <w:r>
        <w:rPr>
          <w:rFonts w:hint="eastAsia" w:ascii="宋体" w:hAnsi="宋体" w:eastAsia="宋体" w:cs="宋体"/>
          <w:color w:val="000000" w:themeColor="text1"/>
          <w:spacing w:val="-2"/>
          <w:sz w:val="22"/>
          <w:szCs w:val="22"/>
          <w14:textFill>
            <w14:solidFill>
              <w14:schemeClr w14:val="tx1"/>
            </w14:solidFill>
          </w14:textFill>
        </w:rPr>
        <w:t>.在合同有效期内，合同双方均不能无故立即终止合同。在合同有效期内，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blPrEx>
          <w:tblCellMar>
            <w:top w:w="0" w:type="dxa"/>
            <w:left w:w="108" w:type="dxa"/>
            <w:bottom w:w="0" w:type="dxa"/>
            <w:right w:w="108" w:type="dxa"/>
          </w:tblCellMar>
        </w:tblPrEx>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blPrEx>
          <w:tblCellMar>
            <w:top w:w="0" w:type="dxa"/>
            <w:left w:w="108" w:type="dxa"/>
            <w:bottom w:w="0" w:type="dxa"/>
            <w:right w:w="108" w:type="dxa"/>
          </w:tblCellMar>
        </w:tblPrEx>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50"/>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2"/>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14"/>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blPrEx>
          <w:tblCellMar>
            <w:top w:w="0" w:type="dxa"/>
            <w:left w:w="108" w:type="dxa"/>
            <w:bottom w:w="0" w:type="dxa"/>
            <w:right w:w="108" w:type="dxa"/>
          </w:tblCellMar>
        </w:tblPrEx>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691"/>
        <w:gridCol w:w="2682"/>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691"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682"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14"/>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14"/>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blPrEx>
          <w:tblCellMar>
            <w:top w:w="0" w:type="dxa"/>
            <w:left w:w="108" w:type="dxa"/>
            <w:bottom w:w="0" w:type="dxa"/>
            <w:right w:w="108" w:type="dxa"/>
          </w:tblCellMar>
        </w:tblPrEx>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blPrEx>
          <w:tblCellMar>
            <w:top w:w="0" w:type="dxa"/>
            <w:left w:w="108" w:type="dxa"/>
            <w:bottom w:w="0" w:type="dxa"/>
            <w:right w:w="108" w:type="dxa"/>
          </w:tblCellMar>
        </w:tblPrEx>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2"/>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2"/>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4"/>
      <w:bookmarkStart w:id="294" w:name="OLE_LINK13"/>
    </w:p>
    <w:p w14:paraId="4972A6FE">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Plantagenet Cherokee">
    <w:altName w:val="Segoe Print"/>
    <w:panose1 w:val="02020602070100000000"/>
    <w:charset w:val="00"/>
    <w:family w:val="auto"/>
    <w:pitch w:val="default"/>
    <w:sig w:usb0="00000000" w:usb1="00000000" w:usb2="00001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F6F36"/>
    <w:multiLevelType w:val="singleLevel"/>
    <w:tmpl w:val="823F6F36"/>
    <w:lvl w:ilvl="0" w:tentative="0">
      <w:start w:val="1"/>
      <w:numFmt w:val="decimal"/>
      <w:lvlText w:val="%1."/>
      <w:lvlJc w:val="left"/>
      <w:pPr>
        <w:tabs>
          <w:tab w:val="left" w:pos="312"/>
        </w:tabs>
      </w:pPr>
    </w:lvl>
  </w:abstractNum>
  <w:abstractNum w:abstractNumId="1">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2">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3">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4">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6">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7">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9">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10">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1">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2">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3">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4">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5">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6">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7">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9"/>
      <w:lvlText w:val="%6."/>
      <w:lvlJc w:val="right"/>
      <w:pPr>
        <w:tabs>
          <w:tab w:val="left" w:pos="0"/>
        </w:tabs>
        <w:ind w:left="2520" w:hanging="420"/>
      </w:pPr>
    </w:lvl>
    <w:lvl w:ilvl="6" w:tentative="0">
      <w:start w:val="1"/>
      <w:numFmt w:val="decimal"/>
      <w:pStyle w:val="10"/>
      <w:lvlText w:val="%7."/>
      <w:lvlJc w:val="left"/>
      <w:pPr>
        <w:tabs>
          <w:tab w:val="left" w:pos="0"/>
        </w:tabs>
        <w:ind w:left="2940" w:hanging="420"/>
      </w:pPr>
    </w:lvl>
    <w:lvl w:ilvl="7" w:tentative="0">
      <w:start w:val="1"/>
      <w:numFmt w:val="lowerLetter"/>
      <w:pStyle w:val="11"/>
      <w:lvlText w:val="%8)"/>
      <w:lvlJc w:val="left"/>
      <w:pPr>
        <w:tabs>
          <w:tab w:val="left" w:pos="0"/>
        </w:tabs>
        <w:ind w:left="3360" w:hanging="420"/>
      </w:pPr>
    </w:lvl>
    <w:lvl w:ilvl="8" w:tentative="0">
      <w:start w:val="1"/>
      <w:numFmt w:val="lowerRoman"/>
      <w:pStyle w:val="12"/>
      <w:lvlText w:val="%9."/>
      <w:lvlJc w:val="right"/>
      <w:pPr>
        <w:tabs>
          <w:tab w:val="left" w:pos="0"/>
        </w:tabs>
        <w:ind w:left="3780" w:hanging="420"/>
      </w:pPr>
    </w:lvl>
  </w:abstractNum>
  <w:abstractNum w:abstractNumId="18">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9">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0">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1">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2">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3">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4">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5">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6">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7">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9">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0">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1">
    <w:nsid w:val="FF8B21E2"/>
    <w:multiLevelType w:val="singleLevel"/>
    <w:tmpl w:val="FF8B21E2"/>
    <w:lvl w:ilvl="0" w:tentative="0">
      <w:start w:val="1"/>
      <w:numFmt w:val="decimal"/>
      <w:suff w:val="nothing"/>
      <w:lvlText w:val="%1."/>
      <w:lvlJc w:val="left"/>
    </w:lvl>
  </w:abstractNum>
  <w:abstractNum w:abstractNumId="32">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3">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4">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5">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6">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7">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8">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9">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40">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1">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2">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3">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4">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5">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6">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7">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8">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9">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50">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1">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2">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3">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4">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5">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7"/>
  </w:num>
  <w:num w:numId="2">
    <w:abstractNumId w:val="42"/>
  </w:num>
  <w:num w:numId="3">
    <w:abstractNumId w:val="26"/>
  </w:num>
  <w:num w:numId="4">
    <w:abstractNumId w:val="34"/>
  </w:num>
  <w:num w:numId="5">
    <w:abstractNumId w:val="19"/>
  </w:num>
  <w:num w:numId="6">
    <w:abstractNumId w:val="7"/>
  </w:num>
  <w:num w:numId="7">
    <w:abstractNumId w:val="15"/>
  </w:num>
  <w:num w:numId="8">
    <w:abstractNumId w:val="49"/>
  </w:num>
  <w:num w:numId="9">
    <w:abstractNumId w:val="24"/>
  </w:num>
  <w:num w:numId="10">
    <w:abstractNumId w:val="13"/>
  </w:num>
  <w:num w:numId="11">
    <w:abstractNumId w:val="47"/>
  </w:num>
  <w:num w:numId="12">
    <w:abstractNumId w:val="14"/>
  </w:num>
  <w:num w:numId="13">
    <w:abstractNumId w:val="35"/>
  </w:num>
  <w:num w:numId="14">
    <w:abstractNumId w:val="8"/>
  </w:num>
  <w:num w:numId="15">
    <w:abstractNumId w:val="16"/>
  </w:num>
  <w:num w:numId="16">
    <w:abstractNumId w:val="50"/>
  </w:num>
  <w:num w:numId="17">
    <w:abstractNumId w:val="2"/>
  </w:num>
  <w:num w:numId="18">
    <w:abstractNumId w:val="36"/>
  </w:num>
  <w:num w:numId="19">
    <w:abstractNumId w:val="45"/>
  </w:num>
  <w:num w:numId="20">
    <w:abstractNumId w:val="25"/>
  </w:num>
  <w:num w:numId="21">
    <w:abstractNumId w:val="39"/>
  </w:num>
  <w:num w:numId="22">
    <w:abstractNumId w:val="1"/>
  </w:num>
  <w:num w:numId="23">
    <w:abstractNumId w:val="11"/>
  </w:num>
  <w:num w:numId="24">
    <w:abstractNumId w:val="18"/>
  </w:num>
  <w:num w:numId="25">
    <w:abstractNumId w:val="22"/>
  </w:num>
  <w:num w:numId="26">
    <w:abstractNumId w:val="32"/>
  </w:num>
  <w:num w:numId="27">
    <w:abstractNumId w:val="6"/>
  </w:num>
  <w:num w:numId="28">
    <w:abstractNumId w:val="46"/>
  </w:num>
  <w:num w:numId="29">
    <w:abstractNumId w:val="43"/>
  </w:num>
  <w:num w:numId="30">
    <w:abstractNumId w:val="3"/>
  </w:num>
  <w:num w:numId="31">
    <w:abstractNumId w:val="21"/>
  </w:num>
  <w:num w:numId="32">
    <w:abstractNumId w:val="23"/>
  </w:num>
  <w:num w:numId="33">
    <w:abstractNumId w:val="48"/>
  </w:num>
  <w:num w:numId="34">
    <w:abstractNumId w:val="38"/>
  </w:num>
  <w:num w:numId="35">
    <w:abstractNumId w:val="0"/>
  </w:num>
  <w:num w:numId="36">
    <w:abstractNumId w:val="12"/>
  </w:num>
  <w:num w:numId="37">
    <w:abstractNumId w:val="40"/>
  </w:num>
  <w:num w:numId="38">
    <w:abstractNumId w:val="27"/>
  </w:num>
  <w:num w:numId="39">
    <w:abstractNumId w:val="4"/>
  </w:num>
  <w:num w:numId="40">
    <w:abstractNumId w:val="44"/>
  </w:num>
  <w:num w:numId="41">
    <w:abstractNumId w:val="28"/>
  </w:num>
  <w:num w:numId="42">
    <w:abstractNumId w:val="10"/>
  </w:num>
  <w:num w:numId="43">
    <w:abstractNumId w:val="41"/>
  </w:num>
  <w:num w:numId="44">
    <w:abstractNumId w:val="52"/>
  </w:num>
  <w:num w:numId="45">
    <w:abstractNumId w:val="9"/>
  </w:num>
  <w:num w:numId="46">
    <w:abstractNumId w:val="54"/>
  </w:num>
  <w:num w:numId="47">
    <w:abstractNumId w:val="20"/>
  </w:num>
  <w:num w:numId="48">
    <w:abstractNumId w:val="55"/>
  </w:num>
  <w:num w:numId="49">
    <w:abstractNumId w:val="53"/>
  </w:num>
  <w:num w:numId="50">
    <w:abstractNumId w:val="5"/>
  </w:num>
  <w:num w:numId="51">
    <w:abstractNumId w:val="33"/>
  </w:num>
  <w:num w:numId="52">
    <w:abstractNumId w:val="29"/>
  </w:num>
  <w:num w:numId="53">
    <w:abstractNumId w:val="30"/>
  </w:num>
  <w:num w:numId="54">
    <w:abstractNumId w:val="51"/>
  </w:num>
  <w:num w:numId="55">
    <w:abstractNumId w:val="37"/>
  </w:num>
  <w:num w:numId="5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7D6A53"/>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454A85"/>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902A13"/>
    <w:rsid w:val="0CA72A35"/>
    <w:rsid w:val="0CB34C1E"/>
    <w:rsid w:val="0CB4165B"/>
    <w:rsid w:val="0CB74121"/>
    <w:rsid w:val="0CCC0B59"/>
    <w:rsid w:val="0CE8722A"/>
    <w:rsid w:val="0CED14D7"/>
    <w:rsid w:val="0CED4CB6"/>
    <w:rsid w:val="0CFB58CF"/>
    <w:rsid w:val="0D085480"/>
    <w:rsid w:val="0D091A33"/>
    <w:rsid w:val="0D243D11"/>
    <w:rsid w:val="0D2766C4"/>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CE72CB"/>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7D42B3"/>
    <w:rsid w:val="129948F0"/>
    <w:rsid w:val="12A314F1"/>
    <w:rsid w:val="12D213CB"/>
    <w:rsid w:val="12D3743D"/>
    <w:rsid w:val="12E17FEA"/>
    <w:rsid w:val="12E806A4"/>
    <w:rsid w:val="12EA4DBC"/>
    <w:rsid w:val="12F942F7"/>
    <w:rsid w:val="12FA541A"/>
    <w:rsid w:val="13052D9E"/>
    <w:rsid w:val="130E5529"/>
    <w:rsid w:val="13114ECD"/>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70572B"/>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6B22B4"/>
    <w:rsid w:val="23715D73"/>
    <w:rsid w:val="239A68EE"/>
    <w:rsid w:val="23C74CC1"/>
    <w:rsid w:val="23D9206E"/>
    <w:rsid w:val="23F50944"/>
    <w:rsid w:val="24066D41"/>
    <w:rsid w:val="24135328"/>
    <w:rsid w:val="24291D1C"/>
    <w:rsid w:val="24511E4B"/>
    <w:rsid w:val="246D6D6E"/>
    <w:rsid w:val="247D45F8"/>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12A6F"/>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C588F"/>
    <w:rsid w:val="2ECD4D13"/>
    <w:rsid w:val="2ECF58D3"/>
    <w:rsid w:val="2EEA5CB8"/>
    <w:rsid w:val="2F8934C9"/>
    <w:rsid w:val="2F8B352C"/>
    <w:rsid w:val="2FD61478"/>
    <w:rsid w:val="2FD70D3C"/>
    <w:rsid w:val="2FE254C2"/>
    <w:rsid w:val="300C2DC7"/>
    <w:rsid w:val="301041FF"/>
    <w:rsid w:val="30167809"/>
    <w:rsid w:val="302A5EC0"/>
    <w:rsid w:val="30311A98"/>
    <w:rsid w:val="3032218B"/>
    <w:rsid w:val="303A5F81"/>
    <w:rsid w:val="304113D8"/>
    <w:rsid w:val="307A6987"/>
    <w:rsid w:val="30884D3E"/>
    <w:rsid w:val="309547B9"/>
    <w:rsid w:val="30A15501"/>
    <w:rsid w:val="30CA3669"/>
    <w:rsid w:val="30D37432"/>
    <w:rsid w:val="30DE0F04"/>
    <w:rsid w:val="30DE2F80"/>
    <w:rsid w:val="30EE4C7F"/>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26D0A"/>
    <w:rsid w:val="347B633B"/>
    <w:rsid w:val="34894549"/>
    <w:rsid w:val="348B34C5"/>
    <w:rsid w:val="348F7A4B"/>
    <w:rsid w:val="34951CC3"/>
    <w:rsid w:val="34951FF1"/>
    <w:rsid w:val="34AB4649"/>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B81E0D"/>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350D0C"/>
    <w:rsid w:val="403B491F"/>
    <w:rsid w:val="404871AE"/>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205FF"/>
    <w:rsid w:val="410D22B6"/>
    <w:rsid w:val="41312F30"/>
    <w:rsid w:val="41346CCC"/>
    <w:rsid w:val="415E3A99"/>
    <w:rsid w:val="415F1711"/>
    <w:rsid w:val="416C3D7C"/>
    <w:rsid w:val="41882C9E"/>
    <w:rsid w:val="41965486"/>
    <w:rsid w:val="41C010D6"/>
    <w:rsid w:val="41D22C5F"/>
    <w:rsid w:val="41E66764"/>
    <w:rsid w:val="41FA1141"/>
    <w:rsid w:val="41FD2D51"/>
    <w:rsid w:val="41FE5E33"/>
    <w:rsid w:val="42132071"/>
    <w:rsid w:val="421648F2"/>
    <w:rsid w:val="422211A6"/>
    <w:rsid w:val="42313585"/>
    <w:rsid w:val="424C4E6A"/>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09069C"/>
    <w:rsid w:val="49121686"/>
    <w:rsid w:val="49236307"/>
    <w:rsid w:val="49294FE9"/>
    <w:rsid w:val="49661F40"/>
    <w:rsid w:val="499603C1"/>
    <w:rsid w:val="49B2485D"/>
    <w:rsid w:val="49D86E2B"/>
    <w:rsid w:val="4A0D499A"/>
    <w:rsid w:val="4A250E23"/>
    <w:rsid w:val="4A3331E5"/>
    <w:rsid w:val="4A4826E4"/>
    <w:rsid w:val="4A4D0063"/>
    <w:rsid w:val="4A5A2989"/>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10FE6"/>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3A0626"/>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0059FA"/>
    <w:rsid w:val="5F1B1AB0"/>
    <w:rsid w:val="5F206235"/>
    <w:rsid w:val="5F575F82"/>
    <w:rsid w:val="5F775CBC"/>
    <w:rsid w:val="5F935625"/>
    <w:rsid w:val="5F9D1C1F"/>
    <w:rsid w:val="5FA24C1A"/>
    <w:rsid w:val="5FA840DF"/>
    <w:rsid w:val="5FBA30CB"/>
    <w:rsid w:val="5FE467CE"/>
    <w:rsid w:val="5FF227B8"/>
    <w:rsid w:val="5FFB4CDE"/>
    <w:rsid w:val="60096BC7"/>
    <w:rsid w:val="600E1095"/>
    <w:rsid w:val="6017749F"/>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0116A"/>
    <w:rsid w:val="638349C8"/>
    <w:rsid w:val="639F2C17"/>
    <w:rsid w:val="63A2022F"/>
    <w:rsid w:val="63A26F17"/>
    <w:rsid w:val="63AE31CC"/>
    <w:rsid w:val="63C37A77"/>
    <w:rsid w:val="63D32E90"/>
    <w:rsid w:val="63F60FD8"/>
    <w:rsid w:val="6402428B"/>
    <w:rsid w:val="640D3575"/>
    <w:rsid w:val="640F2494"/>
    <w:rsid w:val="642A7CF9"/>
    <w:rsid w:val="643818DC"/>
    <w:rsid w:val="64394787"/>
    <w:rsid w:val="643A7236"/>
    <w:rsid w:val="643B33E5"/>
    <w:rsid w:val="645E2496"/>
    <w:rsid w:val="64605313"/>
    <w:rsid w:val="64634577"/>
    <w:rsid w:val="646A33DC"/>
    <w:rsid w:val="64A02388"/>
    <w:rsid w:val="64A74136"/>
    <w:rsid w:val="64A922B1"/>
    <w:rsid w:val="64F21DA6"/>
    <w:rsid w:val="64F33966"/>
    <w:rsid w:val="64F93B78"/>
    <w:rsid w:val="65096B03"/>
    <w:rsid w:val="653243A5"/>
    <w:rsid w:val="6538199C"/>
    <w:rsid w:val="653F1040"/>
    <w:rsid w:val="654900FB"/>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28557C"/>
    <w:rsid w:val="675B29ED"/>
    <w:rsid w:val="675C2CC4"/>
    <w:rsid w:val="676F7F1F"/>
    <w:rsid w:val="67875AE4"/>
    <w:rsid w:val="679C04E2"/>
    <w:rsid w:val="67AB1480"/>
    <w:rsid w:val="67AF4799"/>
    <w:rsid w:val="67BB5423"/>
    <w:rsid w:val="67CC1D06"/>
    <w:rsid w:val="680F1FA7"/>
    <w:rsid w:val="6825356F"/>
    <w:rsid w:val="68257938"/>
    <w:rsid w:val="68295FC1"/>
    <w:rsid w:val="682E40D4"/>
    <w:rsid w:val="68307DE8"/>
    <w:rsid w:val="68442DA1"/>
    <w:rsid w:val="684F3292"/>
    <w:rsid w:val="685D4116"/>
    <w:rsid w:val="68601B84"/>
    <w:rsid w:val="686601CB"/>
    <w:rsid w:val="686F3622"/>
    <w:rsid w:val="687964CC"/>
    <w:rsid w:val="689947A2"/>
    <w:rsid w:val="689E08E0"/>
    <w:rsid w:val="689E4B9C"/>
    <w:rsid w:val="68AA49F5"/>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BB0E9B"/>
    <w:rsid w:val="69CA4774"/>
    <w:rsid w:val="69D74436"/>
    <w:rsid w:val="69D9366A"/>
    <w:rsid w:val="69DC309C"/>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E189E"/>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E2733E"/>
    <w:rsid w:val="6E0957AF"/>
    <w:rsid w:val="6E4C7E57"/>
    <w:rsid w:val="6E544379"/>
    <w:rsid w:val="6E583620"/>
    <w:rsid w:val="6E630B40"/>
    <w:rsid w:val="6E656977"/>
    <w:rsid w:val="6E75215F"/>
    <w:rsid w:val="6E884F56"/>
    <w:rsid w:val="6E8961FB"/>
    <w:rsid w:val="6E8C6663"/>
    <w:rsid w:val="6EAE0FCF"/>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C54C1"/>
    <w:rsid w:val="6F9F6842"/>
    <w:rsid w:val="6FCA4268"/>
    <w:rsid w:val="6FDE0390"/>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1F65166"/>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A2797"/>
    <w:rsid w:val="73CB7C1C"/>
    <w:rsid w:val="73E51C1F"/>
    <w:rsid w:val="740E75CB"/>
    <w:rsid w:val="740F74CD"/>
    <w:rsid w:val="74155C9B"/>
    <w:rsid w:val="74297D09"/>
    <w:rsid w:val="742A10F7"/>
    <w:rsid w:val="74575C64"/>
    <w:rsid w:val="745C02B5"/>
    <w:rsid w:val="745C493C"/>
    <w:rsid w:val="745E601A"/>
    <w:rsid w:val="746E1ABB"/>
    <w:rsid w:val="746F7452"/>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882A7E"/>
    <w:rsid w:val="75912D3E"/>
    <w:rsid w:val="759A6047"/>
    <w:rsid w:val="759D3C7C"/>
    <w:rsid w:val="75C21C97"/>
    <w:rsid w:val="75D92B41"/>
    <w:rsid w:val="75D939B6"/>
    <w:rsid w:val="75EC21A9"/>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snapToGrid w:val="0"/>
      <w:sz w:val="22"/>
      <w:lang w:val="en-US" w:eastAsia="zh-CN" w:bidi="ar-SA"/>
    </w:rPr>
  </w:style>
  <w:style w:type="paragraph" w:styleId="2">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3">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4">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5">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6">
    <w:name w:val="heading 5"/>
    <w:basedOn w:val="1"/>
    <w:next w:val="7"/>
    <w:link w:val="193"/>
    <w:autoRedefine/>
    <w:qFormat/>
    <w:uiPriority w:val="9"/>
    <w:pPr>
      <w:keepNext/>
      <w:keepLines/>
      <w:spacing w:before="280" w:after="290" w:line="376" w:lineRule="auto"/>
      <w:outlineLvl w:val="4"/>
    </w:pPr>
    <w:rPr>
      <w:b/>
      <w:snapToGrid/>
      <w:sz w:val="28"/>
    </w:rPr>
  </w:style>
  <w:style w:type="paragraph" w:styleId="9">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0">
    <w:name w:val="heading 7"/>
    <w:basedOn w:val="1"/>
    <w:next w:val="7"/>
    <w:autoRedefine/>
    <w:qFormat/>
    <w:uiPriority w:val="0"/>
    <w:pPr>
      <w:keepNext/>
      <w:keepLines/>
      <w:numPr>
        <w:ilvl w:val="6"/>
        <w:numId w:val="1"/>
      </w:numPr>
      <w:spacing w:before="240" w:after="64" w:line="319" w:lineRule="auto"/>
      <w:outlineLvl w:val="6"/>
    </w:pPr>
    <w:rPr>
      <w:b/>
      <w:snapToGrid/>
      <w:sz w:val="24"/>
    </w:rPr>
  </w:style>
  <w:style w:type="paragraph" w:styleId="11">
    <w:name w:val="heading 8"/>
    <w:basedOn w:val="1"/>
    <w:next w:val="7"/>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2">
    <w:name w:val="heading 9"/>
    <w:basedOn w:val="1"/>
    <w:next w:val="7"/>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next w:val="8"/>
    <w:link w:val="191"/>
    <w:autoRedefine/>
    <w:qFormat/>
    <w:uiPriority w:val="0"/>
    <w:pPr>
      <w:ind w:firstLine="200" w:firstLineChars="200"/>
    </w:pPr>
    <w:rPr>
      <w:rFonts w:ascii="Calibri" w:hAnsi="Calibri"/>
      <w:snapToGrid/>
      <w:sz w:val="20"/>
      <w:szCs w:val="24"/>
    </w:rPr>
  </w:style>
  <w:style w:type="paragraph" w:styleId="8">
    <w:name w:val="Body Text Indent"/>
    <w:basedOn w:val="1"/>
    <w:next w:val="1"/>
    <w:autoRedefine/>
    <w:qFormat/>
    <w:uiPriority w:val="0"/>
    <w:pPr>
      <w:snapToGrid w:val="0"/>
      <w:spacing w:line="500" w:lineRule="atLeast"/>
      <w:ind w:left="-525" w:firstLine="525"/>
    </w:pPr>
    <w:rPr>
      <w:snapToGrid/>
      <w:sz w:val="24"/>
    </w:rPr>
  </w:style>
  <w:style w:type="paragraph" w:styleId="13">
    <w:name w:val="toc 7"/>
    <w:basedOn w:val="1"/>
    <w:next w:val="1"/>
    <w:autoRedefine/>
    <w:qFormat/>
    <w:uiPriority w:val="0"/>
    <w:pPr>
      <w:ind w:left="2040"/>
      <w:jc w:val="left"/>
    </w:pPr>
    <w:rPr>
      <w:rFonts w:ascii="Calibri" w:hAnsi="Calibri"/>
      <w:snapToGrid/>
      <w:sz w:val="18"/>
      <w:szCs w:val="18"/>
    </w:rPr>
  </w:style>
  <w:style w:type="paragraph" w:styleId="14">
    <w:name w:val="table of authorities"/>
    <w:basedOn w:val="1"/>
    <w:next w:val="1"/>
    <w:autoRedefine/>
    <w:qFormat/>
    <w:uiPriority w:val="0"/>
    <w:pPr>
      <w:ind w:left="420" w:leftChars="200"/>
    </w:p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8"/>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2"/>
    <w:autoRedefine/>
    <w:qFormat/>
    <w:uiPriority w:val="9"/>
    <w:rPr>
      <w:rFonts w:ascii="宋体" w:hAnsi="宋体" w:eastAsia="仿宋_GB2312"/>
      <w:b/>
      <w:kern w:val="44"/>
      <w:sz w:val="44"/>
    </w:rPr>
  </w:style>
  <w:style w:type="character" w:customStyle="1" w:styleId="189">
    <w:name w:val="Heading 2 Char"/>
    <w:link w:val="3"/>
    <w:autoRedefine/>
    <w:qFormat/>
    <w:uiPriority w:val="9"/>
    <w:rPr>
      <w:rFonts w:ascii="Arial" w:hAnsi="Arial" w:eastAsia="黑体"/>
      <w:b/>
      <w:sz w:val="32"/>
    </w:rPr>
  </w:style>
  <w:style w:type="character" w:customStyle="1" w:styleId="190">
    <w:name w:val="Heading 3 Char"/>
    <w:link w:val="4"/>
    <w:autoRedefine/>
    <w:qFormat/>
    <w:uiPriority w:val="9"/>
    <w:rPr>
      <w:rFonts w:ascii="宋体" w:hAnsi="宋体" w:eastAsia="仿宋_GB2312"/>
      <w:b/>
      <w:sz w:val="32"/>
    </w:rPr>
  </w:style>
  <w:style w:type="character" w:customStyle="1" w:styleId="191">
    <w:name w:val="Normal Indent Char"/>
    <w:link w:val="7"/>
    <w:autoRedefine/>
    <w:qFormat/>
    <w:locked/>
    <w:uiPriority w:val="0"/>
    <w:rPr>
      <w:rFonts w:ascii="Calibri" w:hAnsi="Calibri"/>
      <w:szCs w:val="24"/>
    </w:rPr>
  </w:style>
  <w:style w:type="character" w:customStyle="1" w:styleId="192">
    <w:name w:val="Heading 4 Char"/>
    <w:link w:val="5"/>
    <w:autoRedefine/>
    <w:qFormat/>
    <w:uiPriority w:val="9"/>
    <w:rPr>
      <w:rFonts w:ascii="Arial" w:hAnsi="Arial" w:eastAsia="黑体"/>
      <w:b/>
      <w:sz w:val="28"/>
    </w:rPr>
  </w:style>
  <w:style w:type="character" w:customStyle="1" w:styleId="193">
    <w:name w:val="Heading 5 Char"/>
    <w:link w:val="6"/>
    <w:autoRedefine/>
    <w:qFormat/>
    <w:uiPriority w:val="9"/>
    <w:rPr>
      <w:rFonts w:ascii="宋体" w:hAnsi="宋体"/>
      <w:b/>
      <w:sz w:val="28"/>
    </w:rPr>
  </w:style>
  <w:style w:type="character" w:customStyle="1" w:styleId="194">
    <w:name w:val="Heading 6 Char"/>
    <w:link w:val="9"/>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3"/>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5"/>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51</Pages>
  <Words>14431</Words>
  <Characters>14886</Characters>
  <Lines>227</Lines>
  <Paragraphs>63</Paragraphs>
  <TotalTime>10</TotalTime>
  <ScaleCrop>false</ScaleCrop>
  <LinksUpToDate>false</LinksUpToDate>
  <CharactersWithSpaces>15064</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asus</cp:lastModifiedBy>
  <cp:lastPrinted>2020-11-10T14:14:00Z</cp:lastPrinted>
  <dcterms:modified xsi:type="dcterms:W3CDTF">2025-08-05T08:50:04Z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DA43F05ADD4A4C95AA66904C6AC7AF52_13</vt:lpwstr>
  </property>
  <property fmtid="{D5CDD505-2E9C-101B-9397-08002B2CF9AE}" pid="4" name="KSOTemplateDocerSaveRecord">
    <vt:lpwstr>eyJoZGlkIjoiNmE3ZjI3NjBiMTRjY2ViMjBjNzFmMzE5YWE1OWYzZTciLCJ1c2VySWQiOiI0NDYyNzA4NTAifQ==</vt:lpwstr>
  </property>
</Properties>
</file>