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6A687">
      <w:pPr>
        <w:ind w:firstLine="240" w:firstLineChars="100"/>
        <w:rPr>
          <w:rFonts w:ascii="宋体" w:hAnsi="宋体" w:eastAsia="宋体" w:cs="宋体"/>
          <w:color w:val="auto"/>
          <w:highlight w:val="none"/>
        </w:rPr>
      </w:pPr>
      <w:r>
        <w:rPr>
          <w:rFonts w:hint="eastAsia" w:ascii="宋体" w:hAnsi="宋体" w:eastAsia="宋体" w:cs="宋体"/>
          <w:color w:val="auto"/>
          <w:highlight w:val="none"/>
        </w:rPr>
        <w:t xml:space="preserve"> </w:t>
      </w:r>
    </w:p>
    <w:p w14:paraId="311C0133">
      <w:pPr>
        <w:ind w:firstLine="480"/>
        <w:rPr>
          <w:rFonts w:ascii="宋体" w:hAnsi="宋体" w:eastAsia="宋体" w:cs="宋体"/>
          <w:color w:val="auto"/>
          <w:highlight w:val="none"/>
        </w:rPr>
      </w:pPr>
    </w:p>
    <w:p w14:paraId="306663C7">
      <w:pPr>
        <w:pStyle w:val="3"/>
        <w:spacing w:before="312" w:after="312" w:line="360" w:lineRule="auto"/>
        <w:rPr>
          <w:rFonts w:ascii="宋体" w:hAnsi="宋体" w:eastAsia="宋体" w:cs="宋体"/>
          <w:color w:val="auto"/>
          <w:w w:val="90"/>
          <w:sz w:val="84"/>
          <w:szCs w:val="84"/>
          <w:highlight w:val="none"/>
        </w:rPr>
      </w:pPr>
      <w:bookmarkStart w:id="0" w:name="_Toc32425"/>
      <w:bookmarkStart w:id="1" w:name="_Toc2194"/>
      <w:bookmarkStart w:id="2" w:name="_Toc13666"/>
      <w:bookmarkStart w:id="3" w:name="_Toc30991"/>
      <w:r>
        <w:rPr>
          <w:rFonts w:hint="eastAsia" w:ascii="宋体" w:hAnsi="宋体" w:eastAsia="宋体" w:cs="宋体"/>
          <w:color w:val="auto"/>
          <w:w w:val="90"/>
          <w:sz w:val="84"/>
          <w:szCs w:val="84"/>
          <w:highlight w:val="none"/>
          <w:lang w:val="en-US" w:eastAsia="zh-CN"/>
        </w:rPr>
        <w:t xml:space="preserve"> </w:t>
      </w:r>
      <w:r>
        <w:rPr>
          <w:rFonts w:hint="eastAsia" w:ascii="宋体" w:hAnsi="宋体" w:eastAsia="宋体" w:cs="宋体"/>
          <w:color w:val="auto"/>
          <w:w w:val="90"/>
          <w:sz w:val="84"/>
          <w:szCs w:val="84"/>
          <w:highlight w:val="none"/>
        </w:rPr>
        <w:t>招标采购文件</w:t>
      </w:r>
      <w:bookmarkEnd w:id="0"/>
      <w:bookmarkEnd w:id="1"/>
      <w:bookmarkEnd w:id="2"/>
      <w:bookmarkEnd w:id="3"/>
    </w:p>
    <w:p w14:paraId="70BDBAD3">
      <w:pPr>
        <w:ind w:left="0" w:leftChars="0" w:firstLine="0" w:firstLineChars="0"/>
        <w:jc w:val="center"/>
        <w:rPr>
          <w:color w:val="auto"/>
          <w:sz w:val="52"/>
          <w:szCs w:val="52"/>
          <w:highlight w:val="none"/>
        </w:rPr>
      </w:pPr>
      <w:r>
        <w:rPr>
          <w:rFonts w:hint="eastAsia" w:ascii="宋体" w:hAnsi="宋体" w:cs="宋体"/>
          <w:color w:val="auto"/>
          <w:sz w:val="52"/>
          <w:szCs w:val="52"/>
          <w:highlight w:val="none"/>
        </w:rPr>
        <w:t>（非政府采购）</w:t>
      </w:r>
    </w:p>
    <w:p w14:paraId="70FDFB20">
      <w:pPr>
        <w:ind w:firstLine="482"/>
        <w:jc w:val="center"/>
        <w:rPr>
          <w:rFonts w:ascii="宋体" w:hAnsi="宋体" w:eastAsia="宋体" w:cs="宋体"/>
          <w:b/>
          <w:bCs/>
          <w:color w:val="auto"/>
          <w:highlight w:val="none"/>
        </w:rPr>
      </w:pPr>
    </w:p>
    <w:p w14:paraId="40ACA698">
      <w:pPr>
        <w:snapToGrid w:val="0"/>
        <w:ind w:firstLine="0" w:firstLineChars="0"/>
        <w:rPr>
          <w:rFonts w:ascii="宋体" w:hAnsi="宋体" w:eastAsia="宋体" w:cs="宋体"/>
          <w:b/>
          <w:bCs/>
          <w:color w:val="auto"/>
          <w:sz w:val="32"/>
          <w:szCs w:val="32"/>
          <w:highlight w:val="none"/>
          <w:lang w:val="zh-CN"/>
        </w:rPr>
      </w:pPr>
    </w:p>
    <w:p w14:paraId="1D345DAA">
      <w:pPr>
        <w:pStyle w:val="11"/>
        <w:ind w:left="0" w:leftChars="0" w:firstLine="0" w:firstLineChars="0"/>
        <w:rPr>
          <w:rFonts w:ascii="宋体" w:hAnsi="宋体" w:eastAsia="宋体" w:cs="宋体"/>
          <w:b/>
          <w:bCs/>
          <w:color w:val="auto"/>
          <w:sz w:val="32"/>
          <w:szCs w:val="32"/>
          <w:highlight w:val="none"/>
          <w:lang w:val="zh-CN"/>
        </w:rPr>
      </w:pPr>
    </w:p>
    <w:p w14:paraId="7B4E6E2A">
      <w:pPr>
        <w:pStyle w:val="11"/>
        <w:ind w:left="480" w:firstLine="643"/>
        <w:rPr>
          <w:rFonts w:ascii="宋体" w:hAnsi="宋体" w:eastAsia="宋体" w:cs="宋体"/>
          <w:b/>
          <w:bCs/>
          <w:color w:val="auto"/>
          <w:sz w:val="32"/>
          <w:szCs w:val="32"/>
          <w:highlight w:val="none"/>
          <w:lang w:val="zh-CN"/>
        </w:rPr>
      </w:pPr>
    </w:p>
    <w:p w14:paraId="696787F4">
      <w:pPr>
        <w:snapToGrid w:val="0"/>
        <w:spacing w:line="480" w:lineRule="auto"/>
        <w:ind w:firstLine="1285" w:firstLineChars="400"/>
        <w:rPr>
          <w:rFonts w:ascii="宋体" w:hAnsi="宋体" w:eastAsia="宋体" w:cs="宋体"/>
          <w:b/>
          <w:bCs/>
          <w:color w:val="auto"/>
          <w:sz w:val="32"/>
          <w:szCs w:val="32"/>
          <w:highlight w:val="none"/>
          <w:lang w:val="zh-CN"/>
        </w:rPr>
      </w:pPr>
    </w:p>
    <w:p w14:paraId="29A1B79D">
      <w:pPr>
        <w:snapToGrid w:val="0"/>
        <w:spacing w:line="720" w:lineRule="auto"/>
        <w:ind w:firstLine="803" w:firstLineChars="250"/>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lang w:val="zh-CN"/>
        </w:rPr>
        <w:t>项目编号：</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eastAsia="zh-CN"/>
        </w:rPr>
        <w:t xml:space="preserve">LYCG2025TY-045 </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zh-CN"/>
        </w:rPr>
        <w:t xml:space="preserve"> </w:t>
      </w:r>
      <w:r>
        <w:rPr>
          <w:rFonts w:hint="eastAsia" w:ascii="宋体" w:hAnsi="宋体" w:eastAsia="宋体" w:cs="宋体"/>
          <w:b/>
          <w:bCs/>
          <w:color w:val="auto"/>
          <w:sz w:val="32"/>
          <w:szCs w:val="32"/>
          <w:highlight w:val="none"/>
        </w:rPr>
        <w:t xml:space="preserve">          </w:t>
      </w:r>
    </w:p>
    <w:p w14:paraId="70B25F46">
      <w:pPr>
        <w:widowControl/>
        <w:spacing w:line="360" w:lineRule="auto"/>
        <w:ind w:firstLine="800" w:firstLineChars="0"/>
        <w:jc w:val="center"/>
        <w:rPr>
          <w:rFonts w:hint="default"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lang w:val="zh-CN"/>
        </w:rPr>
        <w:t>项目名称：</w:t>
      </w:r>
      <w:r>
        <w:rPr>
          <w:rFonts w:hint="eastAsia" w:ascii="宋体" w:hAnsi="宋体" w:eastAsia="宋体" w:cs="宋体"/>
          <w:b/>
          <w:bCs/>
          <w:color w:val="auto"/>
          <w:sz w:val="32"/>
          <w:szCs w:val="32"/>
          <w:highlight w:val="none"/>
          <w:u w:val="single"/>
          <w:lang w:val="zh-CN"/>
        </w:rPr>
        <w:t>2025年龙游华水水业发展有限公司劳务承包采购项目（重招）</w:t>
      </w:r>
    </w:p>
    <w:p w14:paraId="579C77D5">
      <w:pPr>
        <w:pStyle w:val="47"/>
        <w:ind w:left="960" w:hanging="480"/>
        <w:rPr>
          <w:color w:val="auto"/>
          <w:highlight w:val="none"/>
        </w:rPr>
      </w:pPr>
    </w:p>
    <w:p w14:paraId="7D92C7D0">
      <w:pPr>
        <w:snapToGrid w:val="0"/>
        <w:spacing w:line="600" w:lineRule="auto"/>
        <w:ind w:firstLine="819" w:firstLineChars="255"/>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rPr>
        <w:t>采购</w:t>
      </w:r>
      <w:r>
        <w:rPr>
          <w:rFonts w:hint="eastAsia" w:ascii="宋体" w:hAnsi="宋体" w:eastAsia="宋体" w:cs="宋体"/>
          <w:b/>
          <w:bCs/>
          <w:color w:val="auto"/>
          <w:sz w:val="32"/>
          <w:szCs w:val="32"/>
          <w:highlight w:val="none"/>
          <w:lang w:val="zh-CN"/>
        </w:rPr>
        <w:t>单位：</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lang w:val="zh-CN"/>
        </w:rPr>
        <w:t>龙游华水水业发展有限公司</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p>
    <w:p w14:paraId="7473CC3D">
      <w:pPr>
        <w:pStyle w:val="11"/>
        <w:rPr>
          <w:color w:val="auto"/>
          <w:highlight w:val="none"/>
          <w:lang w:val="zh-CN"/>
        </w:rPr>
      </w:pPr>
    </w:p>
    <w:p w14:paraId="3FA41AAD">
      <w:pPr>
        <w:snapToGrid w:val="0"/>
        <w:spacing w:line="720" w:lineRule="auto"/>
        <w:ind w:firstLine="848" w:firstLineChars="264"/>
        <w:rPr>
          <w:rFonts w:ascii="宋体" w:hAnsi="宋体" w:eastAsia="宋体" w:cs="宋体"/>
          <w:b/>
          <w:bCs/>
          <w:color w:val="auto"/>
          <w:sz w:val="32"/>
          <w:szCs w:val="32"/>
          <w:highlight w:val="none"/>
          <w:u w:val="single"/>
          <w:lang w:val="zh-CN"/>
        </w:rPr>
      </w:pPr>
      <w:r>
        <w:rPr>
          <w:rFonts w:hint="eastAsia" w:ascii="宋体" w:hAnsi="宋体" w:eastAsia="宋体" w:cs="宋体"/>
          <w:b/>
          <w:bCs/>
          <w:color w:val="auto"/>
          <w:sz w:val="32"/>
          <w:szCs w:val="32"/>
          <w:highlight w:val="none"/>
          <w:lang w:val="zh-CN"/>
        </w:rPr>
        <w:t>代理机构：</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lang w:val="zh-CN"/>
        </w:rPr>
        <w:t>泰宇建筑工程技术咨询有限公司</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p>
    <w:p w14:paraId="7189FEF4">
      <w:pPr>
        <w:snapToGrid w:val="0"/>
        <w:spacing w:line="480" w:lineRule="auto"/>
        <w:ind w:left="0" w:leftChars="0" w:firstLine="0" w:firstLineChars="0"/>
        <w:jc w:val="center"/>
        <w:rPr>
          <w:rFonts w:ascii="宋体" w:hAnsi="宋体" w:eastAsia="宋体" w:cs="宋体"/>
          <w:b/>
          <w:bCs/>
          <w:color w:val="auto"/>
          <w:sz w:val="32"/>
          <w:szCs w:val="32"/>
          <w:highlight w:val="none"/>
          <w:lang w:val="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850" w:gutter="0"/>
          <w:cols w:space="720" w:num="1"/>
          <w:titlePg/>
          <w:docGrid w:linePitch="312" w:charSpace="0"/>
        </w:sectPr>
      </w:pPr>
      <w:r>
        <w:rPr>
          <w:rFonts w:hint="eastAsia" w:ascii="宋体" w:hAnsi="宋体" w:eastAsia="宋体" w:cs="宋体"/>
          <w:b/>
          <w:bCs/>
          <w:color w:val="auto"/>
          <w:sz w:val="32"/>
          <w:szCs w:val="32"/>
          <w:highlight w:val="none"/>
          <w:lang w:val="zh-CN"/>
        </w:rPr>
        <w:t>二0二</w:t>
      </w:r>
      <w:r>
        <w:rPr>
          <w:rFonts w:hint="eastAsia" w:ascii="宋体" w:hAnsi="宋体" w:eastAsia="宋体" w:cs="宋体"/>
          <w:b/>
          <w:bCs/>
          <w:color w:val="auto"/>
          <w:sz w:val="32"/>
          <w:szCs w:val="32"/>
          <w:highlight w:val="none"/>
          <w:lang w:val="en-US" w:eastAsia="zh-CN"/>
        </w:rPr>
        <w:t>五</w:t>
      </w:r>
      <w:r>
        <w:rPr>
          <w:rFonts w:hint="eastAsia" w:ascii="宋体" w:hAnsi="宋体" w:eastAsia="宋体" w:cs="宋体"/>
          <w:b/>
          <w:bCs/>
          <w:color w:val="auto"/>
          <w:sz w:val="32"/>
          <w:szCs w:val="32"/>
          <w:highlight w:val="none"/>
          <w:lang w:val="zh-CN"/>
        </w:rPr>
        <w:t>年</w:t>
      </w:r>
      <w:r>
        <w:rPr>
          <w:rFonts w:hint="eastAsia" w:ascii="宋体" w:hAnsi="宋体" w:eastAsia="宋体" w:cs="宋体"/>
          <w:b/>
          <w:bCs/>
          <w:color w:val="auto"/>
          <w:sz w:val="32"/>
          <w:szCs w:val="32"/>
          <w:highlight w:val="none"/>
          <w:lang w:val="en-US" w:eastAsia="zh-CN"/>
        </w:rPr>
        <w:t>七</w:t>
      </w:r>
      <w:r>
        <w:rPr>
          <w:rFonts w:hint="eastAsia" w:ascii="宋体" w:hAnsi="宋体" w:eastAsia="宋体" w:cs="宋体"/>
          <w:b/>
          <w:bCs/>
          <w:color w:val="auto"/>
          <w:sz w:val="32"/>
          <w:szCs w:val="32"/>
          <w:highlight w:val="none"/>
          <w:lang w:val="zh-CN"/>
        </w:rPr>
        <w:t>月</w:t>
      </w:r>
    </w:p>
    <w:p w14:paraId="2477FCE9">
      <w:pPr>
        <w:snapToGrid w:val="0"/>
        <w:ind w:firstLine="0" w:firstLineChars="0"/>
        <w:jc w:val="center"/>
        <w:rPr>
          <w:rFonts w:ascii="宋体" w:hAnsi="宋体" w:eastAsia="宋体" w:cs="宋体"/>
          <w:color w:val="auto"/>
          <w:sz w:val="40"/>
          <w:szCs w:val="40"/>
          <w:highlight w:val="none"/>
        </w:rPr>
      </w:pPr>
      <w:bookmarkStart w:id="4" w:name="_Toc354401488"/>
      <w:bookmarkStart w:id="5" w:name="_Toc322352981"/>
      <w:bookmarkStart w:id="6" w:name="_Toc350256312"/>
      <w:r>
        <w:rPr>
          <w:rFonts w:hint="eastAsia" w:ascii="宋体" w:hAnsi="宋体" w:eastAsia="宋体" w:cs="宋体"/>
          <w:color w:val="auto"/>
          <w:sz w:val="40"/>
          <w:szCs w:val="40"/>
          <w:highlight w:val="none"/>
        </w:rPr>
        <w:t>目 录</w:t>
      </w:r>
    </w:p>
    <w:bookmarkEnd w:id="4"/>
    <w:bookmarkEnd w:id="5"/>
    <w:bookmarkEnd w:id="6"/>
    <w:sdt>
      <w:sdtPr>
        <w:rPr>
          <w:rFonts w:ascii="宋体" w:hAnsi="宋体" w:eastAsia="宋体"/>
          <w:color w:val="auto"/>
          <w:sz w:val="21"/>
          <w:highlight w:val="none"/>
        </w:rPr>
        <w:id w:val="147476217"/>
        <w15:color w:val="DBDBDB"/>
        <w:docPartObj>
          <w:docPartGallery w:val="Table of Contents"/>
          <w:docPartUnique/>
        </w:docPartObj>
      </w:sdtPr>
      <w:sdtEndPr>
        <w:rPr>
          <w:rFonts w:hint="eastAsia" w:ascii="宋体" w:hAnsi="宋体" w:eastAsia="宋体" w:cs="宋体"/>
          <w:color w:val="auto"/>
          <w:sz w:val="24"/>
          <w:szCs w:val="44"/>
          <w:highlight w:val="none"/>
        </w:rPr>
      </w:sdtEndPr>
      <w:sdtContent>
        <w:p w14:paraId="6BCC201F">
          <w:pPr>
            <w:spacing w:line="240" w:lineRule="auto"/>
            <w:ind w:firstLine="0" w:firstLineChars="0"/>
            <w:jc w:val="center"/>
            <w:rPr>
              <w:color w:val="auto"/>
              <w:highlight w:val="none"/>
            </w:rPr>
          </w:pPr>
          <w:bookmarkStart w:id="7" w:name="_Toc30683"/>
          <w:bookmarkStart w:id="8" w:name="_Toc31169"/>
          <w:bookmarkStart w:id="9" w:name="_Toc25144"/>
          <w:bookmarkStart w:id="10" w:name="_Toc11547"/>
          <w:bookmarkStart w:id="11" w:name="_Toc25659"/>
          <w:bookmarkStart w:id="12" w:name="_Toc3487"/>
          <w:bookmarkStart w:id="13" w:name="_Toc9262"/>
        </w:p>
        <w:p w14:paraId="78364C43">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rStyle w:val="69"/>
              <w:rFonts w:hint="eastAsia" w:asciiTheme="minorEastAsia" w:hAnsiTheme="minorEastAsia" w:eastAsiaTheme="minorEastAsia"/>
              <w:color w:val="auto"/>
              <w:sz w:val="24"/>
              <w:highlight w:val="none"/>
            </w:rPr>
            <w:fldChar w:fldCharType="begin"/>
          </w:r>
          <w:r>
            <w:rPr>
              <w:rStyle w:val="69"/>
              <w:rFonts w:hint="eastAsia" w:asciiTheme="minorEastAsia" w:hAnsiTheme="minorEastAsia" w:eastAsiaTheme="minorEastAsia" w:cstheme="minorEastAsia"/>
              <w:color w:val="auto"/>
              <w:sz w:val="24"/>
              <w:highlight w:val="none"/>
            </w:rPr>
            <w:instrText xml:space="preserve">TOC \o "1-1" \h \u </w:instrText>
          </w:r>
          <w:r>
            <w:rPr>
              <w:rStyle w:val="69"/>
              <w:rFonts w:hint="eastAsia" w:asciiTheme="minorEastAsia" w:hAnsiTheme="minorEastAsia" w:eastAsiaTheme="minorEastAsia"/>
              <w:color w:val="auto"/>
              <w:sz w:val="24"/>
              <w:highlight w:val="none"/>
            </w:rPr>
            <w:fldChar w:fldCharType="separate"/>
          </w:r>
          <w:r>
            <w:rPr>
              <w:color w:val="auto"/>
              <w:highlight w:val="none"/>
            </w:rPr>
            <w:fldChar w:fldCharType="begin"/>
          </w:r>
          <w:r>
            <w:rPr>
              <w:color w:val="auto"/>
              <w:highlight w:val="none"/>
            </w:rPr>
            <w:instrText xml:space="preserve"> HYPERLINK \l "_Toc13666" </w:instrText>
          </w:r>
          <w:r>
            <w:rPr>
              <w:color w:val="auto"/>
              <w:highlight w:val="none"/>
            </w:rPr>
            <w:fldChar w:fldCharType="separate"/>
          </w:r>
          <w:r>
            <w:rPr>
              <w:rFonts w:hint="eastAsia" w:asciiTheme="minorEastAsia" w:hAnsiTheme="minorEastAsia" w:eastAsiaTheme="minorEastAsia" w:cstheme="minorEastAsia"/>
              <w:color w:val="auto"/>
              <w:w w:val="90"/>
              <w:sz w:val="24"/>
              <w:szCs w:val="24"/>
              <w:highlight w:val="none"/>
            </w:rPr>
            <w:t>招标采购文件</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_Toc13666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2456DED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"_Toc2664"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第一章  招标公告</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_Toc2664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348FF0D9">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"_Toc14962" </w:instrText>
          </w:r>
          <w:r>
            <w:rPr>
              <w:color w:val="auto"/>
              <w:highlight w:val="none"/>
            </w:rPr>
            <w:fldChar w:fldCharType="separate"/>
          </w:r>
          <w:r>
            <w:rPr>
              <w:rFonts w:hint="eastAsia" w:asciiTheme="minorEastAsia" w:hAnsiTheme="minorEastAsia" w:eastAsiaTheme="minorEastAsia" w:cstheme="minorEastAsia"/>
              <w:bCs/>
              <w:color w:val="auto"/>
              <w:sz w:val="24"/>
              <w:szCs w:val="24"/>
              <w:highlight w:val="none"/>
            </w:rPr>
            <w:t>第二章  投标人须知前附表</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_Toc14962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7</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10F45A9E">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"_Toc24049"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第三章 采购内容及要求</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_Toc24049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25</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41295172">
          <w:pPr>
            <w:pStyle w:val="82"/>
            <w:tabs>
              <w:tab w:val="right" w:leader="dot" w:pos="9514"/>
            </w:tabs>
            <w:spacing w:line="480" w:lineRule="auto"/>
            <w:rPr>
              <w:rFonts w:hint="eastAsia" w:asciiTheme="minorEastAsia" w:hAnsiTheme="minorEastAsia" w:eastAsiaTheme="minorEastAsia" w:cstheme="minorEastAsia"/>
              <w:color w:val="auto"/>
              <w:sz w:val="24"/>
              <w:szCs w:val="24"/>
              <w:highlight w:val="none"/>
              <w:lang w:val="en-US" w:eastAsia="zh-CN"/>
            </w:rPr>
          </w:pPr>
          <w:r>
            <w:rPr>
              <w:color w:val="auto"/>
              <w:highlight w:val="none"/>
            </w:rPr>
            <w:fldChar w:fldCharType="begin"/>
          </w:r>
          <w:r>
            <w:rPr>
              <w:color w:val="auto"/>
              <w:highlight w:val="none"/>
            </w:rPr>
            <w:instrText xml:space="preserve"> HYPERLINK \l "_Toc21965" </w:instrText>
          </w:r>
          <w:r>
            <w:rPr>
              <w:color w:val="auto"/>
              <w:highlight w:val="none"/>
            </w:rPr>
            <w:fldChar w:fldCharType="separate"/>
          </w:r>
          <w:r>
            <w:rPr>
              <w:rFonts w:hint="eastAsia" w:asciiTheme="minorEastAsia" w:hAnsiTheme="minorEastAsia" w:eastAsiaTheme="minorEastAsia" w:cstheme="minorEastAsia"/>
              <w:bCs/>
              <w:color w:val="auto"/>
              <w:kern w:val="44"/>
              <w:sz w:val="24"/>
              <w:szCs w:val="24"/>
              <w:highlight w:val="none"/>
            </w:rPr>
            <w:t>第四章 合同主要条款</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lang w:val="en-US" w:eastAsia="zh-CN"/>
            </w:rPr>
            <w:t>6</w:t>
          </w:r>
        </w:p>
        <w:p w14:paraId="74DB9BC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"_Toc26447"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lang w:val="zh-CN"/>
            </w:rPr>
            <w:t>第五章  评审方法及评审标准</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_Toc26447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28</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1B6ED162">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"_Toc12495"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lang w:val="zh-CN"/>
            </w:rPr>
            <w:t>第六章</w:t>
          </w:r>
          <w:r>
            <w:rPr>
              <w:rFonts w:hint="eastAsia" w:asciiTheme="minorEastAsia" w:hAnsiTheme="minorEastAsia" w:eastAsiaTheme="minorEastAsia" w:cstheme="minorEastAsia"/>
              <w:color w:val="auto"/>
              <w:sz w:val="24"/>
              <w:szCs w:val="24"/>
              <w:highlight w:val="none"/>
            </w:rPr>
            <w:t xml:space="preserve">  应提交的有关格式范例</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_Toc12495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37</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070DDEAC">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"_Toc25138"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一、法定代表人资格证明书及授权委托书格式</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_Toc25138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45</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2F4E6A24">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"_Toc4650"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三、投标人简介</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_Toc4650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48</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564F7063">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"_Toc11190"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四、类似项目业绩</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_Toc11190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49</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341D256F">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"_Toc30224"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五、投标响应表（偏离表）格式</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_Toc30224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50</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5D26AB02">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r>
            <w:rPr>
              <w:color w:val="auto"/>
              <w:highlight w:val="none"/>
            </w:rPr>
            <w:fldChar w:fldCharType="begin"/>
          </w:r>
          <w:r>
            <w:rPr>
              <w:color w:val="auto"/>
              <w:highlight w:val="none"/>
            </w:rPr>
            <w:instrText xml:space="preserve"> HYPERLINK \l "_Toc6044" </w:instrText>
          </w:r>
          <w:r>
            <w:rPr>
              <w:color w:val="auto"/>
              <w:highlight w:val="none"/>
            </w:rPr>
            <w:fldChar w:fldCharType="separate"/>
          </w:r>
          <w:r>
            <w:rPr>
              <w:rFonts w:hint="eastAsia" w:asciiTheme="minorEastAsia" w:hAnsiTheme="minorEastAsia" w:eastAsiaTheme="minorEastAsia" w:cstheme="minorEastAsia"/>
              <w:color w:val="auto"/>
              <w:sz w:val="24"/>
              <w:szCs w:val="24"/>
              <w:highlight w:val="none"/>
            </w:rPr>
            <w:t>七、技术部分</w:t>
          </w:r>
          <w:r>
            <w:rPr>
              <w:rFonts w:hint="eastAsia" w:asciiTheme="minorEastAsia" w:hAnsiTheme="minorEastAsia" w:eastAsiaTheme="minorEastAsia" w:cstheme="minorEastAsia"/>
              <w:color w:val="auto"/>
              <w:sz w:val="24"/>
              <w:szCs w:val="24"/>
              <w:highlight w:val="none"/>
            </w:rPr>
            <w:tab/>
          </w: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 PAGEREF _Toc6044 \h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 w:val="24"/>
              <w:szCs w:val="24"/>
              <w:highlight w:val="none"/>
            </w:rPr>
            <w:t>53</w:t>
          </w:r>
          <w:r>
            <w:rPr>
              <w:rFonts w:hint="eastAsia" w:asciiTheme="minorEastAsia" w:hAnsiTheme="minorEastAsia" w:eastAsiaTheme="minorEastAsia" w:cstheme="minorEastAsia"/>
              <w:color w:val="auto"/>
              <w:sz w:val="24"/>
              <w:szCs w:val="24"/>
              <w:highlight w:val="none"/>
            </w:rPr>
            <w:fldChar w:fldCharType="end"/>
          </w:r>
          <w:r>
            <w:rPr>
              <w:rFonts w:hint="eastAsia" w:asciiTheme="minorEastAsia" w:hAnsiTheme="minorEastAsia" w:eastAsiaTheme="minorEastAsia" w:cstheme="minorEastAsia"/>
              <w:color w:val="auto"/>
              <w:sz w:val="24"/>
              <w:szCs w:val="24"/>
              <w:highlight w:val="none"/>
            </w:rPr>
            <w:fldChar w:fldCharType="end"/>
          </w:r>
        </w:p>
        <w:p w14:paraId="66D4D5A9">
          <w:pPr>
            <w:pStyle w:val="82"/>
            <w:tabs>
              <w:tab w:val="right" w:leader="dot" w:pos="9514"/>
            </w:tabs>
            <w:spacing w:line="480" w:lineRule="auto"/>
            <w:rPr>
              <w:rFonts w:asciiTheme="minorEastAsia" w:hAnsiTheme="minorEastAsia" w:eastAsiaTheme="minorEastAsia" w:cstheme="minorEastAsia"/>
              <w:color w:val="auto"/>
              <w:sz w:val="24"/>
              <w:szCs w:val="24"/>
              <w:highlight w:val="none"/>
            </w:rPr>
          </w:pPr>
        </w:p>
        <w:p w14:paraId="72E480AF">
          <w:pPr>
            <w:snapToGrid w:val="0"/>
            <w:spacing w:before="335" w:beforeLines="100" w:after="335" w:afterLines="100" w:line="480" w:lineRule="auto"/>
            <w:ind w:firstLine="0" w:firstLineChars="0"/>
            <w:jc w:val="center"/>
            <w:rPr>
              <w:rStyle w:val="69"/>
              <w:rFonts w:ascii="宋体" w:hAnsi="宋体" w:eastAsia="宋体" w:cs="宋体"/>
              <w:color w:val="auto"/>
              <w:szCs w:val="44"/>
              <w:highlight w:val="none"/>
            </w:rPr>
          </w:pPr>
          <w:r>
            <w:rPr>
              <w:rFonts w:hint="eastAsia" w:asciiTheme="minorEastAsia" w:hAnsiTheme="minorEastAsia" w:eastAsiaTheme="minorEastAsia" w:cstheme="minorEastAsia"/>
              <w:color w:val="auto"/>
              <w:highlight w:val="none"/>
            </w:rPr>
            <w:fldChar w:fldCharType="end"/>
          </w:r>
        </w:p>
      </w:sdtContent>
    </w:sdt>
    <w:p w14:paraId="50E0276F">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78F3664B">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2D8D322E">
      <w:pPr>
        <w:snapToGrid w:val="0"/>
        <w:spacing w:before="335" w:beforeLines="100" w:after="335" w:afterLines="100" w:line="400" w:lineRule="exact"/>
        <w:ind w:firstLine="0" w:firstLineChars="0"/>
        <w:jc w:val="center"/>
        <w:rPr>
          <w:rStyle w:val="69"/>
          <w:rFonts w:ascii="宋体" w:hAnsi="宋体" w:eastAsia="宋体" w:cs="宋体"/>
          <w:color w:val="auto"/>
          <w:szCs w:val="44"/>
          <w:highlight w:val="none"/>
        </w:rPr>
      </w:pPr>
    </w:p>
    <w:p w14:paraId="7665287C">
      <w:pPr>
        <w:pStyle w:val="11"/>
        <w:ind w:left="480" w:firstLine="883"/>
        <w:rPr>
          <w:rStyle w:val="69"/>
          <w:rFonts w:ascii="宋体" w:hAnsi="宋体" w:eastAsia="宋体" w:cs="宋体"/>
          <w:color w:val="auto"/>
          <w:szCs w:val="44"/>
          <w:highlight w:val="none"/>
        </w:rPr>
      </w:pPr>
    </w:p>
    <w:p w14:paraId="78203377">
      <w:pPr>
        <w:snapToGrid w:val="0"/>
        <w:spacing w:before="405" w:beforeLines="121" w:after="335" w:afterLines="100" w:line="240" w:lineRule="auto"/>
        <w:ind w:firstLine="0" w:firstLineChars="0"/>
        <w:jc w:val="center"/>
        <w:outlineLvl w:val="0"/>
        <w:rPr>
          <w:rFonts w:ascii="宋体" w:hAnsi="宋体" w:eastAsia="宋体" w:cs="宋体"/>
          <w:b/>
          <w:bCs/>
          <w:color w:val="auto"/>
          <w:sz w:val="32"/>
          <w:szCs w:val="32"/>
          <w:highlight w:val="none"/>
        </w:rPr>
      </w:pPr>
      <w:bookmarkStart w:id="14" w:name="_Toc2664"/>
      <w:r>
        <w:rPr>
          <w:rStyle w:val="69"/>
          <w:rFonts w:hint="eastAsia" w:ascii="宋体" w:hAnsi="宋体" w:eastAsia="宋体" w:cs="宋体"/>
          <w:color w:val="auto"/>
          <w:szCs w:val="44"/>
          <w:highlight w:val="none"/>
        </w:rPr>
        <w:t>第一章  招标公告</w:t>
      </w:r>
      <w:bookmarkEnd w:id="7"/>
      <w:bookmarkEnd w:id="8"/>
      <w:bookmarkEnd w:id="9"/>
      <w:bookmarkEnd w:id="10"/>
      <w:bookmarkEnd w:id="11"/>
      <w:bookmarkEnd w:id="12"/>
      <w:bookmarkEnd w:id="13"/>
      <w:bookmarkEnd w:id="14"/>
    </w:p>
    <w:p w14:paraId="5F2C0DB9">
      <w:pPr>
        <w:pageBreakBefore w:val="0"/>
        <w:kinsoku/>
        <w:wordWrap/>
        <w:overflowPunct/>
        <w:topLinePunct w:val="0"/>
        <w:autoSpaceDE/>
        <w:autoSpaceDN/>
        <w:bidi w:val="0"/>
        <w:adjustRightInd/>
        <w:spacing w:line="312" w:lineRule="auto"/>
        <w:ind w:firstLine="480"/>
        <w:textAlignment w:val="auto"/>
        <w:rPr>
          <w:color w:val="auto"/>
          <w:sz w:val="21"/>
          <w:szCs w:val="21"/>
          <w:highlight w:val="none"/>
        </w:rPr>
      </w:pPr>
      <w:bookmarkStart w:id="15" w:name="_Toc356371430"/>
      <w:bookmarkStart w:id="16" w:name="_Toc322352982"/>
      <w:bookmarkStart w:id="17" w:name="_Toc359856796"/>
      <w:bookmarkStart w:id="18" w:name="_Toc354491896"/>
      <w:r>
        <w:rPr>
          <w:rFonts w:hint="eastAsia" w:ascii="宋体" w:hAnsi="宋体" w:eastAsia="宋体" w:cs="宋体"/>
          <w:color w:val="auto"/>
          <w:sz w:val="21"/>
          <w:szCs w:val="21"/>
          <w:highlight w:val="none"/>
        </w:rPr>
        <w:t>根据《龙游县国有企业采购管理办法》（龙政办发[2021]58号）等有关规定，泰宇建筑工程技术咨询有限公司受</w:t>
      </w:r>
      <w:r>
        <w:rPr>
          <w:rFonts w:hint="eastAsia" w:ascii="宋体" w:hAnsi="宋体" w:eastAsia="宋体" w:cs="宋体"/>
          <w:color w:val="auto"/>
          <w:sz w:val="21"/>
          <w:szCs w:val="21"/>
          <w:highlight w:val="none"/>
          <w:lang w:eastAsia="zh-CN"/>
        </w:rPr>
        <w:t>龙游华水水业发展有限公司</w:t>
      </w:r>
      <w:r>
        <w:rPr>
          <w:rFonts w:hint="eastAsia" w:ascii="宋体" w:hAnsi="宋体" w:eastAsia="宋体" w:cs="宋体"/>
          <w:color w:val="auto"/>
          <w:sz w:val="21"/>
          <w:szCs w:val="21"/>
          <w:highlight w:val="none"/>
        </w:rPr>
        <w:t>委托，现就</w:t>
      </w:r>
      <w:r>
        <w:rPr>
          <w:rFonts w:hint="eastAsia" w:ascii="宋体" w:hAnsi="宋体" w:eastAsia="宋体" w:cs="宋体"/>
          <w:color w:val="auto"/>
          <w:sz w:val="21"/>
          <w:szCs w:val="21"/>
          <w:highlight w:val="none"/>
          <w:lang w:eastAsia="zh-CN"/>
        </w:rPr>
        <w:t>2025年龙游华水水业发展有限公司劳务承包采购项目（重招）</w:t>
      </w:r>
      <w:r>
        <w:rPr>
          <w:rFonts w:hint="eastAsia" w:ascii="宋体" w:hAnsi="宋体" w:eastAsia="宋体" w:cs="宋体"/>
          <w:color w:val="auto"/>
          <w:sz w:val="21"/>
          <w:szCs w:val="21"/>
          <w:highlight w:val="none"/>
        </w:rPr>
        <w:t>进行招标采购，欢迎有意向的供应商参加本次采购活动。</w:t>
      </w:r>
    </w:p>
    <w:p w14:paraId="7ED33AF9">
      <w:pPr>
        <w:keepNext/>
        <w:keepLines/>
        <w:pageBreakBefore w:val="0"/>
        <w:kinsoku/>
        <w:wordWrap/>
        <w:overflowPunct/>
        <w:topLinePunct w:val="0"/>
        <w:autoSpaceDE/>
        <w:autoSpaceDN/>
        <w:bidi w:val="0"/>
        <w:adjustRightInd/>
        <w:snapToGrid w:val="0"/>
        <w:spacing w:line="312" w:lineRule="auto"/>
        <w:ind w:firstLine="482"/>
        <w:textAlignment w:val="auto"/>
        <w:outlineLvl w:val="1"/>
        <w:rPr>
          <w:rFonts w:eastAsia="宋体"/>
          <w:b/>
          <w:bCs/>
          <w:color w:val="auto"/>
          <w:sz w:val="21"/>
          <w:szCs w:val="21"/>
          <w:highlight w:val="none"/>
        </w:rPr>
      </w:pPr>
      <w:r>
        <w:rPr>
          <w:rFonts w:hint="eastAsia" w:eastAsia="宋体"/>
          <w:b/>
          <w:bCs/>
          <w:color w:val="auto"/>
          <w:sz w:val="21"/>
          <w:szCs w:val="21"/>
          <w:highlight w:val="none"/>
        </w:rPr>
        <w:t>一、项目基本情况</w:t>
      </w:r>
    </w:p>
    <w:p w14:paraId="55509C1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1.项目编号： </w:t>
      </w:r>
      <w:r>
        <w:rPr>
          <w:rFonts w:hint="eastAsia" w:ascii="宋体" w:hAnsi="宋体" w:eastAsia="宋体" w:cs="宋体"/>
          <w:color w:val="auto"/>
          <w:sz w:val="21"/>
          <w:szCs w:val="21"/>
          <w:highlight w:val="none"/>
          <w:lang w:eastAsia="zh-CN"/>
        </w:rPr>
        <w:t xml:space="preserve">LYCG2025TY-045 </w:t>
      </w:r>
      <w:r>
        <w:rPr>
          <w:rFonts w:hint="eastAsia" w:ascii="宋体" w:hAnsi="宋体" w:eastAsia="宋体" w:cs="宋体"/>
          <w:color w:val="auto"/>
          <w:sz w:val="21"/>
          <w:szCs w:val="21"/>
          <w:highlight w:val="none"/>
        </w:rPr>
        <w:t xml:space="preserve">  </w:t>
      </w:r>
    </w:p>
    <w:p w14:paraId="5EBE7087">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2.项目名称：</w:t>
      </w:r>
      <w:r>
        <w:rPr>
          <w:rFonts w:hint="eastAsia" w:ascii="宋体" w:hAnsi="宋体" w:eastAsia="宋体" w:cs="宋体"/>
          <w:color w:val="auto"/>
          <w:sz w:val="21"/>
          <w:szCs w:val="21"/>
          <w:highlight w:val="none"/>
          <w:lang w:eastAsia="zh-CN"/>
        </w:rPr>
        <w:t>2025年龙游华水水业发展有限公司劳务承包采购项目（重招）</w:t>
      </w:r>
    </w:p>
    <w:p w14:paraId="51CFF3B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3.采购方式：公开招标</w:t>
      </w:r>
    </w:p>
    <w:p w14:paraId="29DCC538">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4.预算金额：</w:t>
      </w:r>
      <w:r>
        <w:rPr>
          <w:rFonts w:hint="eastAsia" w:ascii="宋体" w:hAnsi="宋体" w:eastAsia="宋体" w:cs="宋体"/>
          <w:color w:val="auto"/>
          <w:sz w:val="21"/>
          <w:szCs w:val="21"/>
          <w:highlight w:val="none"/>
          <w:lang w:val="en-US" w:eastAsia="zh-CN"/>
        </w:rPr>
        <w:t>28万元；最高限价：278640元；</w:t>
      </w:r>
    </w:p>
    <w:p w14:paraId="25DB21D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5.简要规格描述：详见招标文件第三章：采购内容及要求 </w:t>
      </w:r>
    </w:p>
    <w:p w14:paraId="5CC2E831">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服务期</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1年或本次预算金额用完</w:t>
      </w:r>
    </w:p>
    <w:p w14:paraId="710E0F47">
      <w:pPr>
        <w:pageBreakBefore w:val="0"/>
        <w:widowControl/>
        <w:kinsoku/>
        <w:wordWrap/>
        <w:overflowPunct/>
        <w:topLinePunct w:val="0"/>
        <w:autoSpaceDE/>
        <w:autoSpaceDN/>
        <w:bidi w:val="0"/>
        <w:adjustRightInd/>
        <w:snapToGrid w:val="0"/>
        <w:spacing w:line="312" w:lineRule="auto"/>
        <w:ind w:firstLine="482"/>
        <w:textAlignment w:val="auto"/>
        <w:rPr>
          <w:rFonts w:ascii="宋体" w:hAnsi="宋体" w:eastAsia="宋体" w:cs="宋体"/>
          <w:color w:val="auto"/>
          <w:sz w:val="21"/>
          <w:szCs w:val="21"/>
          <w:highlight w:val="none"/>
        </w:rPr>
      </w:pPr>
      <w:bookmarkStart w:id="19" w:name="_Toc35393622"/>
      <w:bookmarkStart w:id="20" w:name="_Toc28359003"/>
      <w:bookmarkStart w:id="21" w:name="_Toc28359080"/>
      <w:bookmarkStart w:id="22" w:name="_Toc35393791"/>
      <w:r>
        <w:rPr>
          <w:rFonts w:hint="eastAsia" w:eastAsia="宋体"/>
          <w:b/>
          <w:bCs/>
          <w:color w:val="auto"/>
          <w:kern w:val="0"/>
          <w:sz w:val="21"/>
          <w:szCs w:val="21"/>
          <w:highlight w:val="none"/>
        </w:rPr>
        <w:t>二、申请人的资格要求：</w:t>
      </w:r>
      <w:bookmarkEnd w:id="19"/>
      <w:bookmarkEnd w:id="20"/>
      <w:bookmarkEnd w:id="21"/>
      <w:bookmarkEnd w:id="22"/>
    </w:p>
    <w:p w14:paraId="51CACA0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r>
        <w:rPr>
          <w:rFonts w:hint="eastAsia" w:ascii="宋体" w:hAnsi="宋体" w:eastAsia="宋体" w:cs="宋体"/>
          <w:color w:val="auto"/>
          <w:sz w:val="21"/>
          <w:szCs w:val="21"/>
          <w:highlight w:val="none"/>
          <w:lang w:val="en-US" w:eastAsia="zh-CN"/>
        </w:rPr>
        <w:t>，在中华人民共和国境内依法注册的并具有独立有效法人资格的供应商</w:t>
      </w:r>
      <w:r>
        <w:rPr>
          <w:rFonts w:hint="eastAsia" w:ascii="宋体" w:hAnsi="宋体" w:eastAsia="宋体" w:cs="宋体"/>
          <w:color w:val="auto"/>
          <w:sz w:val="21"/>
          <w:szCs w:val="21"/>
          <w:highlight w:val="none"/>
        </w:rPr>
        <w:t>。</w:t>
      </w:r>
    </w:p>
    <w:p w14:paraId="56CAE32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2.落实政府采购政策需满足的资格要求：无</w:t>
      </w:r>
    </w:p>
    <w:p w14:paraId="7D38A50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3.本项目的特定资格要求</w:t>
      </w:r>
    </w:p>
    <w:p w14:paraId="5D654E86">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（1）单位负责人为同一人或者存在直接控股、管理关系的不同投标人，不得参加同一合同项下的政府采购活动。</w:t>
      </w:r>
    </w:p>
    <w:p w14:paraId="29827A75">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（2）公益一类事业单位、使用事业编制且由财政拨款保障的群团组织不属于政府购买服务的承接主体，不得参与承接购买服务。</w:t>
      </w:r>
    </w:p>
    <w:p w14:paraId="3044D89A">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）本项目不允许联合体投标。</w:t>
      </w:r>
    </w:p>
    <w:p w14:paraId="5A9CD73D">
      <w:pPr>
        <w:pStyle w:val="11"/>
        <w:ind w:left="480" w:leftChars="0" w:hanging="60" w:firstLineChars="0"/>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（4）具有有效的劳务派遣经营许可证。</w:t>
      </w:r>
    </w:p>
    <w:p w14:paraId="3A4FAC8E">
      <w:pPr>
        <w:pageBreakBefore w:val="0"/>
        <w:kinsoku/>
        <w:wordWrap/>
        <w:overflowPunct/>
        <w:topLinePunct w:val="0"/>
        <w:autoSpaceDE/>
        <w:autoSpaceDN/>
        <w:bidi w:val="0"/>
        <w:adjustRightInd/>
        <w:spacing w:line="312" w:lineRule="auto"/>
        <w:ind w:firstLine="482"/>
        <w:textAlignment w:val="auto"/>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三、</w:t>
      </w:r>
      <w:r>
        <w:rPr>
          <w:rFonts w:hint="eastAsia" w:ascii="宋体" w:hAnsi="宋体" w:eastAsia="宋体" w:cs="宋体"/>
          <w:b/>
          <w:bCs/>
          <w:color w:val="auto"/>
          <w:sz w:val="21"/>
          <w:szCs w:val="21"/>
          <w:highlight w:val="none"/>
          <w:lang w:val="zh-CN"/>
        </w:rPr>
        <w:t>报名及</w:t>
      </w:r>
      <w:r>
        <w:rPr>
          <w:rFonts w:hint="eastAsia" w:ascii="宋体" w:hAnsi="宋体" w:eastAsia="宋体" w:cs="宋体"/>
          <w:b/>
          <w:bCs/>
          <w:color w:val="auto"/>
          <w:sz w:val="21"/>
          <w:szCs w:val="21"/>
          <w:highlight w:val="none"/>
        </w:rPr>
        <w:t>招标</w:t>
      </w:r>
      <w:r>
        <w:rPr>
          <w:rFonts w:hint="eastAsia" w:ascii="宋体" w:hAnsi="宋体" w:eastAsia="宋体" w:cs="宋体"/>
          <w:b/>
          <w:bCs/>
          <w:color w:val="auto"/>
          <w:sz w:val="21"/>
          <w:szCs w:val="21"/>
          <w:highlight w:val="none"/>
          <w:lang w:val="zh-CN"/>
        </w:rPr>
        <w:t>文件获取方式</w:t>
      </w:r>
      <w:r>
        <w:rPr>
          <w:rFonts w:hint="eastAsia" w:ascii="宋体" w:hAnsi="宋体" w:eastAsia="宋体" w:cs="宋体"/>
          <w:color w:val="auto"/>
          <w:sz w:val="21"/>
          <w:szCs w:val="21"/>
          <w:highlight w:val="none"/>
        </w:rPr>
        <w:t>：</w:t>
      </w:r>
    </w:p>
    <w:p w14:paraId="3C68291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1、获取招标文件方式：龙游县水务集团有限公司网站本项目采购公告附件处自行下载招标文件（供应商报名不能证明其符合投标人资格要求）。</w:t>
      </w:r>
    </w:p>
    <w:p w14:paraId="787BC63E">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2、报名时间及方式：</w:t>
      </w:r>
    </w:p>
    <w:p w14:paraId="1F13640A">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2.1报名截止时间：招标公告发布至202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04</w:t>
      </w:r>
      <w:r>
        <w:rPr>
          <w:rFonts w:hint="eastAsia" w:ascii="宋体" w:hAnsi="宋体" w:eastAsia="宋体" w:cs="宋体"/>
          <w:color w:val="auto"/>
          <w:sz w:val="21"/>
          <w:szCs w:val="21"/>
          <w:highlight w:val="none"/>
        </w:rPr>
        <w:t>日止(双休日及法定节假日除外)，上午：8:30－12:00时，下午：14:00－17:00时。</w:t>
      </w:r>
    </w:p>
    <w:p w14:paraId="52BD45C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2.2报名方式</w:t>
      </w:r>
    </w:p>
    <w:p w14:paraId="16AB0D4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2.2.1将以下报名资料扫描件发送至</w:t>
      </w:r>
      <w:r>
        <w:rPr>
          <w:rFonts w:hint="eastAsia" w:ascii="宋体" w:hAnsi="宋体" w:eastAsia="宋体" w:cs="宋体"/>
          <w:color w:val="auto"/>
          <w:sz w:val="21"/>
          <w:szCs w:val="21"/>
          <w:highlight w:val="none"/>
          <w:lang w:eastAsia="zh-CN"/>
        </w:rPr>
        <w:t>1064461656</w:t>
      </w:r>
      <w:r>
        <w:rPr>
          <w:rFonts w:hint="eastAsia" w:ascii="宋体" w:hAnsi="宋体" w:eastAsia="宋体" w:cs="宋体"/>
          <w:color w:val="auto"/>
          <w:sz w:val="21"/>
          <w:szCs w:val="21"/>
          <w:highlight w:val="none"/>
        </w:rPr>
        <w:t>@qq.com并致电采购代理机构联系人</w:t>
      </w:r>
      <w:r>
        <w:rPr>
          <w:rFonts w:hint="eastAsia" w:asciiTheme="minorEastAsia" w:hAnsiTheme="minorEastAsia" w:eastAsiaTheme="minorEastAsia" w:cstheme="minorEastAsia"/>
          <w:color w:val="auto"/>
          <w:sz w:val="21"/>
          <w:szCs w:val="21"/>
          <w:highlight w:val="none"/>
          <w:lang w:val="en-US" w:eastAsia="zh-CN"/>
        </w:rPr>
        <w:t>赵先生</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eastAsia="zh-CN"/>
        </w:rPr>
        <w:t>19816800661</w:t>
      </w:r>
      <w:r>
        <w:rPr>
          <w:rFonts w:hint="eastAsia" w:ascii="宋体" w:hAnsi="宋体" w:eastAsia="宋体" w:cs="宋体"/>
          <w:color w:val="auto"/>
          <w:sz w:val="21"/>
          <w:szCs w:val="21"/>
          <w:highlight w:val="none"/>
        </w:rPr>
        <w:t>）。</w:t>
      </w:r>
    </w:p>
    <w:p w14:paraId="295737E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2.3报名时需提供以下证件资料：</w:t>
      </w:r>
    </w:p>
    <w:p w14:paraId="7A22D232">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2.3.1、供应商提供有效的营业执照副本复印件；</w:t>
      </w:r>
    </w:p>
    <w:p w14:paraId="2598255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2.3.2、授权委托书（授权委托书须明确被授权人姓名、身份证号码、采购项目名称、项目编号、联系电话、邮箱、传真等）；</w:t>
      </w:r>
    </w:p>
    <w:p w14:paraId="175F703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2.3.3、报名经办人身份证复印件；</w:t>
      </w:r>
    </w:p>
    <w:p w14:paraId="2C33671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2.4未经报名登记并获取采购文件的供应商参与本项目招投标活动的，将被拒绝。</w:t>
      </w:r>
    </w:p>
    <w:p w14:paraId="10A6E7BF">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注：报名时，提供的报名资料均需加盖公章。报名不视为投标人满足资格审查要求，资格评审以评标委员会评标结果为准。</w:t>
      </w:r>
      <w:r>
        <w:rPr>
          <w:rFonts w:hint="eastAsia" w:asciiTheme="minorEastAsia" w:hAnsiTheme="minorEastAsia" w:eastAsiaTheme="minorEastAsia" w:cstheme="minorEastAsia"/>
          <w:color w:val="auto"/>
          <w:sz w:val="21"/>
          <w:szCs w:val="21"/>
          <w:highlight w:val="none"/>
        </w:rPr>
        <w:t>招标文件发售截止后至投标截止时间前，均允许潜在投标人获取招标文件，但对招标文件的提疑须在本招标文件规定的时间内提出，逾期的提疑将不予受理</w:t>
      </w:r>
      <w:r>
        <w:rPr>
          <w:rFonts w:hint="eastAsia" w:ascii="宋体" w:hAnsi="宋体" w:eastAsia="宋体" w:cs="宋体"/>
          <w:color w:val="auto"/>
          <w:sz w:val="21"/>
          <w:szCs w:val="21"/>
          <w:highlight w:val="none"/>
        </w:rPr>
        <w:t>。</w:t>
      </w:r>
    </w:p>
    <w:p w14:paraId="74628E23">
      <w:pPr>
        <w:pageBreakBefore w:val="0"/>
        <w:kinsoku/>
        <w:wordWrap/>
        <w:overflowPunct/>
        <w:topLinePunct w:val="0"/>
        <w:autoSpaceDE/>
        <w:autoSpaceDN/>
        <w:bidi w:val="0"/>
        <w:adjustRightInd/>
        <w:spacing w:line="312" w:lineRule="auto"/>
        <w:ind w:left="480" w:firstLine="0" w:firstLineChars="0"/>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四、投标截止时间和地点：</w:t>
      </w:r>
    </w:p>
    <w:p w14:paraId="1BFEE902">
      <w:pPr>
        <w:pageBreakBefore w:val="0"/>
        <w:numPr>
          <w:ilvl w:val="0"/>
          <w:numId w:val="2"/>
        </w:numPr>
        <w:kinsoku/>
        <w:wordWrap/>
        <w:overflowPunct/>
        <w:topLinePunct w:val="0"/>
        <w:autoSpaceDE/>
        <w:autoSpaceDN/>
        <w:bidi w:val="0"/>
        <w:adjustRightInd/>
        <w:spacing w:line="312" w:lineRule="auto"/>
        <w:ind w:left="480" w:leftChars="200"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投标文件递交截止时间：投标人应于202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06</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15:00</w:t>
      </w:r>
      <w:r>
        <w:rPr>
          <w:rFonts w:hint="eastAsia" w:ascii="宋体" w:hAnsi="宋体" w:eastAsia="宋体" w:cs="宋体"/>
          <w:color w:val="auto"/>
          <w:sz w:val="21"/>
          <w:szCs w:val="21"/>
          <w:highlight w:val="none"/>
        </w:rPr>
        <w:t>时</w:t>
      </w:r>
      <w:bookmarkStart w:id="23" w:name="OLE_LINK6"/>
      <w:r>
        <w:rPr>
          <w:rFonts w:hint="eastAsia" w:ascii="宋体" w:hAnsi="宋体" w:eastAsia="宋体" w:cs="宋体"/>
          <w:color w:val="auto"/>
          <w:sz w:val="21"/>
          <w:szCs w:val="21"/>
          <w:highlight w:val="none"/>
        </w:rPr>
        <w:t>整（北京时间）</w:t>
      </w:r>
      <w:bookmarkEnd w:id="23"/>
      <w:r>
        <w:rPr>
          <w:rFonts w:hint="eastAsia" w:ascii="宋体" w:hAnsi="宋体" w:eastAsia="宋体" w:cs="宋体"/>
          <w:color w:val="auto"/>
          <w:sz w:val="21"/>
          <w:szCs w:val="21"/>
          <w:highlight w:val="none"/>
        </w:rPr>
        <w:t>，逾期送达的拒收；</w:t>
      </w:r>
    </w:p>
    <w:p w14:paraId="36FD8618">
      <w:pPr>
        <w:pageBreakBefore w:val="0"/>
        <w:numPr>
          <w:ilvl w:val="0"/>
          <w:numId w:val="2"/>
        </w:numPr>
        <w:kinsoku/>
        <w:wordWrap/>
        <w:overflowPunct/>
        <w:topLinePunct w:val="0"/>
        <w:autoSpaceDE/>
        <w:autoSpaceDN/>
        <w:bidi w:val="0"/>
        <w:adjustRightInd/>
        <w:spacing w:line="312" w:lineRule="auto"/>
        <w:ind w:left="480" w:leftChars="200"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递交地点：龙游县水务集团有限公司1楼开标室，逾期送达作无效标处理。</w:t>
      </w:r>
    </w:p>
    <w:p w14:paraId="1DFBB8E4">
      <w:pPr>
        <w:pageBreakBefore w:val="0"/>
        <w:kinsoku/>
        <w:wordWrap/>
        <w:overflowPunct/>
        <w:topLinePunct w:val="0"/>
        <w:autoSpaceDE/>
        <w:autoSpaceDN/>
        <w:bidi w:val="0"/>
        <w:adjustRightInd/>
        <w:spacing w:line="312" w:lineRule="auto"/>
        <w:ind w:firstLine="482"/>
        <w:textAlignment w:val="auto"/>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五、开标时间和地点：</w:t>
      </w:r>
      <w:r>
        <w:rPr>
          <w:rFonts w:hint="eastAsia" w:ascii="宋体" w:hAnsi="宋体" w:eastAsia="宋体" w:cs="宋体"/>
          <w:color w:val="auto"/>
          <w:sz w:val="21"/>
          <w:szCs w:val="21"/>
          <w:highlight w:val="none"/>
        </w:rPr>
        <w:t>本次招标将于202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06</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15:00</w:t>
      </w:r>
      <w:r>
        <w:rPr>
          <w:rFonts w:hint="eastAsia" w:ascii="宋体" w:hAnsi="宋体" w:eastAsia="宋体" w:cs="宋体"/>
          <w:color w:val="auto"/>
          <w:sz w:val="21"/>
          <w:szCs w:val="21"/>
          <w:highlight w:val="none"/>
        </w:rPr>
        <w:t>时在龙游县水务集团有限公司1楼开标室开标。</w:t>
      </w:r>
    </w:p>
    <w:p w14:paraId="6629B806">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六、质疑与答复</w:t>
      </w:r>
    </w:p>
    <w:p w14:paraId="4479218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1.投标人对采购公告、采购文件有异议的，在202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04</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：00时前以书面形式向采购人和采购代理机构提出，逾期提出不予受理。</w:t>
      </w:r>
    </w:p>
    <w:p w14:paraId="0077B3C6">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2.采购文件的答疑、补充、修改等于202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日17：00时前在</w:t>
      </w:r>
      <w:r>
        <w:rPr>
          <w:rFonts w:hint="eastAsia" w:ascii="宋体" w:hAnsi="宋体" w:eastAsia="宋体" w:cs="宋体"/>
          <w:color w:val="auto"/>
          <w:sz w:val="21"/>
          <w:szCs w:val="21"/>
          <w:highlight w:val="none"/>
          <w:lang w:val="zh-CN"/>
        </w:rPr>
        <w:t>龙游县水务集团有限公司网站</w:t>
      </w:r>
      <w:r>
        <w:rPr>
          <w:rFonts w:hint="eastAsia" w:ascii="宋体" w:hAnsi="宋体" w:eastAsia="宋体" w:cs="宋体"/>
          <w:color w:val="auto"/>
          <w:sz w:val="21"/>
          <w:szCs w:val="21"/>
          <w:highlight w:val="none"/>
        </w:rPr>
        <w:t>公布，请各投标人自行查看。</w:t>
      </w:r>
    </w:p>
    <w:p w14:paraId="3AE68EE2">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七、投标信息发布及下载网址</w:t>
      </w:r>
    </w:p>
    <w:p w14:paraId="057CFC5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龙游县水务集团有限公司网站</w:t>
      </w:r>
      <w:r>
        <w:rPr>
          <w:rFonts w:hint="eastAsia" w:ascii="宋体" w:hAnsi="宋体" w:cs="宋体"/>
          <w:color w:val="auto"/>
          <w:kern w:val="0"/>
          <w:sz w:val="21"/>
          <w:szCs w:val="21"/>
          <w:highlight w:val="none"/>
        </w:rPr>
        <w:t>（http://www.lyswjt.com）</w:t>
      </w:r>
    </w:p>
    <w:p w14:paraId="4B51DBD4">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八、信用记录：</w:t>
      </w:r>
    </w:p>
    <w:p w14:paraId="4CA18BF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根据财库[2016]125号《关于在政府采购活动中查询及使用信用记录有关问题的通知》要求，对供应商信用记录进行查询并甄别。</w:t>
      </w:r>
    </w:p>
    <w:p w14:paraId="37AA754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1.信用信息查询的截止时点：递交投标文件截止时间</w:t>
      </w:r>
    </w:p>
    <w:p w14:paraId="46F526B7">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2.查询渠道：</w:t>
      </w:r>
    </w:p>
    <w:p w14:paraId="3F9FFF0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信用中国（www.creditchina.gov.cn）；</w:t>
      </w:r>
    </w:p>
    <w:p w14:paraId="66FF6E25">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中国政府采购网（www.ccgp.gov.cn）；</w:t>
      </w:r>
    </w:p>
    <w:p w14:paraId="006A780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浙江政府采购网（http://zfcg.czt.zj.gov.cn/）；</w:t>
      </w:r>
    </w:p>
    <w:p w14:paraId="422CCDAF">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3.信用信息查询记录和证据留存具体方式：采购代理机构经办人和监督人将查询网页打印、签字与其他采购文件一并保存；</w:t>
      </w:r>
    </w:p>
    <w:p w14:paraId="48151FC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4.信用信息的使用规则：投标方存在不良信用记录的，其投标文件在资格审查时均不予以通过。</w:t>
      </w:r>
    </w:p>
    <w:p w14:paraId="7193A76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良信用记录指：被“信用中国”网站（www.creditchina.gov.vn）列入失信被执行人、重大税收违法案件当事人名单、政府采购严重违法失信名单；在投标截止之日至前三年内，在“中国政府采购网”(www.ccgp.gov.cn)列入政府采购严重违法失信行为记录名单中的且在处罚有效期内的；在投标截止之日至前三年内，在“浙江政府采购网”（ http://zfcg.czt.zj.gov.cn/）“曝光台”中被曝光且在处罚有效期内的。</w:t>
      </w:r>
    </w:p>
    <w:p w14:paraId="32B471A1">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九、其他事项：</w:t>
      </w:r>
    </w:p>
    <w:p w14:paraId="5D9B2BEA">
      <w:pPr>
        <w:pageBreakBefore w:val="0"/>
        <w:kinsoku/>
        <w:wordWrap/>
        <w:overflowPunct/>
        <w:topLinePunct w:val="0"/>
        <w:autoSpaceDE/>
        <w:autoSpaceDN/>
        <w:bidi w:val="0"/>
        <w:adjustRightInd/>
        <w:spacing w:line="312" w:lineRule="auto"/>
        <w:ind w:firstLine="480"/>
        <w:textAlignment w:val="auto"/>
        <w:outlineLvl w:val="1"/>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质疑和投诉：供应商认为采购文件使自己的权益受到损害的，可以自获取采购文件之日或者采购公告期限届满之日（公告期限届满后获取采购文件的，以公告期限届满之日为准）起7个工作日内，以书面形式向采购人和采购代理机构提出质疑。质疑投标人对采购人、采购代理机构的答复不满意或者采购人、采购代理机构未在规定的时间内作出答复的，可以在答复期满后十五个工作日内向同级采购监督管理部门投诉。质疑函范本、投诉书范本请到浙江政府采购网下载专区下载。</w:t>
      </w:r>
    </w:p>
    <w:p w14:paraId="7924001C">
      <w:pPr>
        <w:pageBreakBefore w:val="0"/>
        <w:kinsoku/>
        <w:wordWrap/>
        <w:overflowPunct/>
        <w:topLinePunct w:val="0"/>
        <w:autoSpaceDE/>
        <w:autoSpaceDN/>
        <w:bidi w:val="0"/>
        <w:adjustRightInd/>
        <w:spacing w:line="312" w:lineRule="auto"/>
        <w:ind w:firstLine="482"/>
        <w:textAlignment w:val="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十、联系方式</w:t>
      </w:r>
    </w:p>
    <w:p w14:paraId="53C66A8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1、采购人信息</w:t>
      </w:r>
    </w:p>
    <w:p w14:paraId="4664B0A0">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bookmarkStart w:id="24" w:name="OLE_LINK7"/>
      <w:r>
        <w:rPr>
          <w:rFonts w:hint="eastAsia" w:ascii="宋体" w:hAnsi="宋体" w:eastAsia="宋体" w:cs="宋体"/>
          <w:color w:val="auto"/>
          <w:sz w:val="21"/>
          <w:szCs w:val="21"/>
          <w:highlight w:val="none"/>
        </w:rPr>
        <w:t>名 称：</w:t>
      </w:r>
      <w:r>
        <w:rPr>
          <w:rFonts w:hint="eastAsia" w:ascii="宋体" w:hAnsi="宋体" w:eastAsia="宋体" w:cs="宋体"/>
          <w:color w:val="auto"/>
          <w:sz w:val="21"/>
          <w:szCs w:val="21"/>
          <w:highlight w:val="none"/>
          <w:lang w:eastAsia="zh-CN"/>
        </w:rPr>
        <w:t>龙游华水水业发展有限公司</w:t>
      </w:r>
    </w:p>
    <w:p w14:paraId="268AECD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val="zh-CN"/>
        </w:rPr>
        <w:t>龙游县龙洲街道荣昌路东道35号</w:t>
      </w:r>
    </w:p>
    <w:p w14:paraId="1D9CF624">
      <w:pPr>
        <w:pageBreakBefore w:val="0"/>
        <w:kinsoku/>
        <w:wordWrap/>
        <w:overflowPunct/>
        <w:topLinePunct w:val="0"/>
        <w:autoSpaceDE/>
        <w:autoSpaceDN/>
        <w:bidi w:val="0"/>
        <w:adjustRightInd/>
        <w:spacing w:line="312" w:lineRule="auto"/>
        <w:ind w:firstLine="48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项目联系人</w:t>
      </w:r>
      <w:r>
        <w:rPr>
          <w:rFonts w:hint="eastAsia" w:ascii="宋体" w:hAnsi="宋体" w:eastAsia="宋体" w:cs="宋体"/>
          <w:color w:val="auto"/>
          <w:sz w:val="21"/>
          <w:szCs w:val="21"/>
          <w:highlight w:val="none"/>
          <w:lang w:val="zh-CN" w:eastAsia="zh-CN"/>
        </w:rPr>
        <w:t>：</w:t>
      </w:r>
      <w:r>
        <w:rPr>
          <w:rFonts w:hint="eastAsia" w:ascii="宋体" w:hAnsi="宋体" w:eastAsia="宋体" w:cs="宋体"/>
          <w:color w:val="auto"/>
          <w:sz w:val="21"/>
          <w:szCs w:val="21"/>
          <w:highlight w:val="none"/>
          <w:lang w:val="en-US" w:eastAsia="zh-CN"/>
        </w:rPr>
        <w:t>邓女士</w:t>
      </w:r>
    </w:p>
    <w:p w14:paraId="0B0EAB73">
      <w:pPr>
        <w:pageBreakBefore w:val="0"/>
        <w:kinsoku/>
        <w:wordWrap/>
        <w:overflowPunct/>
        <w:topLinePunct w:val="0"/>
        <w:autoSpaceDE/>
        <w:autoSpaceDN/>
        <w:bidi w:val="0"/>
        <w:adjustRightInd/>
        <w:spacing w:line="312" w:lineRule="auto"/>
        <w:ind w:firstLine="48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联系电话：</w:t>
      </w:r>
      <w:r>
        <w:rPr>
          <w:rFonts w:hint="eastAsia" w:ascii="宋体" w:hAnsi="宋体" w:cs="宋体"/>
          <w:color w:val="auto"/>
          <w:sz w:val="21"/>
          <w:szCs w:val="21"/>
          <w:highlight w:val="none"/>
          <w:vertAlign w:val="baseline"/>
          <w:lang w:val="en-US" w:eastAsia="zh-CN"/>
        </w:rPr>
        <w:t>15857013180</w:t>
      </w:r>
    </w:p>
    <w:bookmarkEnd w:id="24"/>
    <w:p w14:paraId="5805875D">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bookmarkStart w:id="25" w:name="OLE_LINK8"/>
      <w:r>
        <w:rPr>
          <w:rFonts w:hint="eastAsia" w:ascii="宋体" w:hAnsi="宋体" w:eastAsia="宋体" w:cs="宋体"/>
          <w:color w:val="auto"/>
          <w:sz w:val="21"/>
          <w:szCs w:val="21"/>
          <w:highlight w:val="none"/>
        </w:rPr>
        <w:t>2、采购代理机构名称</w:t>
      </w:r>
    </w:p>
    <w:p w14:paraId="427A423E">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名称：泰宇建筑工程技术咨询有限公司</w:t>
      </w:r>
    </w:p>
    <w:p w14:paraId="5A0A5B50">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地点：龙游县环城西路144号新华书店四楼</w:t>
      </w:r>
    </w:p>
    <w:p w14:paraId="7662561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lang w:val="en-US" w:eastAsia="zh-CN"/>
        </w:rPr>
        <w:t>赵</w:t>
      </w:r>
      <w:r>
        <w:rPr>
          <w:rFonts w:hint="eastAsia" w:ascii="宋体" w:hAnsi="宋体" w:eastAsia="宋体" w:cs="宋体"/>
          <w:color w:val="auto"/>
          <w:sz w:val="21"/>
          <w:szCs w:val="21"/>
          <w:highlight w:val="none"/>
        </w:rPr>
        <w:t xml:space="preserve">先生    </w:t>
      </w:r>
    </w:p>
    <w:p w14:paraId="0D9C5840">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eastAsia="zh-CN"/>
        </w:rPr>
        <w:t>19816800661</w:t>
      </w:r>
    </w:p>
    <w:p w14:paraId="0833CC4B">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r>
        <w:rPr>
          <w:rFonts w:hint="eastAsia"/>
          <w:color w:val="auto"/>
          <w:sz w:val="21"/>
          <w:szCs w:val="21"/>
          <w:highlight w:val="none"/>
        </w:rPr>
        <w:fldChar w:fldCharType="begin"/>
      </w:r>
      <w:r>
        <w:rPr>
          <w:color w:val="auto"/>
          <w:sz w:val="21"/>
          <w:szCs w:val="21"/>
          <w:highlight w:val="none"/>
        </w:rPr>
        <w:instrText xml:space="preserve"> HYPERLINK "mailto:18958139919@163.com" </w:instrText>
      </w:r>
      <w:r>
        <w:rPr>
          <w:rFonts w:hint="eastAsia"/>
          <w:color w:val="auto"/>
          <w:sz w:val="21"/>
          <w:szCs w:val="21"/>
          <w:highlight w:val="none"/>
        </w:rPr>
        <w:fldChar w:fldCharType="separate"/>
      </w:r>
      <w:r>
        <w:rPr>
          <w:rFonts w:hint="eastAsia" w:ascii="宋体" w:hAnsi="宋体" w:eastAsia="宋体" w:cs="宋体"/>
          <w:color w:val="auto"/>
          <w:sz w:val="21"/>
          <w:szCs w:val="21"/>
          <w:highlight w:val="none"/>
          <w:lang w:eastAsia="zh-CN"/>
        </w:rPr>
        <w:t>1064461656</w:t>
      </w:r>
      <w:r>
        <w:rPr>
          <w:rFonts w:hint="eastAsia" w:ascii="宋体" w:hAnsi="宋体" w:eastAsia="宋体" w:cs="宋体"/>
          <w:color w:val="auto"/>
          <w:sz w:val="21"/>
          <w:szCs w:val="21"/>
          <w:highlight w:val="none"/>
        </w:rPr>
        <w:t>@qq.com</w:t>
      </w:r>
      <w:r>
        <w:rPr>
          <w:rFonts w:hint="eastAsia" w:ascii="宋体" w:hAnsi="宋体" w:eastAsia="宋体" w:cs="宋体"/>
          <w:color w:val="auto"/>
          <w:sz w:val="21"/>
          <w:szCs w:val="21"/>
          <w:highlight w:val="none"/>
        </w:rPr>
        <w:fldChar w:fldCharType="end"/>
      </w:r>
    </w:p>
    <w:p w14:paraId="7ACD8499">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质疑受理人：赵女士</w:t>
      </w:r>
    </w:p>
    <w:p w14:paraId="78410601">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联系电话：0570-7186100</w:t>
      </w:r>
    </w:p>
    <w:p w14:paraId="03602C7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3、监督机构名称：龙游县水务集团有限公司</w:t>
      </w:r>
      <w:r>
        <w:rPr>
          <w:rFonts w:hint="eastAsia" w:ascii="宋体" w:hAnsi="宋体" w:eastAsia="宋体" w:cs="宋体"/>
          <w:color w:val="auto"/>
          <w:sz w:val="21"/>
          <w:szCs w:val="21"/>
          <w:highlight w:val="none"/>
          <w:lang w:eastAsia="zh-CN"/>
        </w:rPr>
        <w:t>招投标分中心</w:t>
      </w:r>
      <w:r>
        <w:rPr>
          <w:rFonts w:hint="eastAsia" w:ascii="宋体" w:hAnsi="宋体" w:eastAsia="宋体" w:cs="宋体"/>
          <w:color w:val="auto"/>
          <w:sz w:val="21"/>
          <w:szCs w:val="21"/>
          <w:highlight w:val="none"/>
        </w:rPr>
        <w:t> </w:t>
      </w:r>
    </w:p>
    <w:p w14:paraId="65F13128">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联系人：夏</w:t>
      </w:r>
      <w:r>
        <w:rPr>
          <w:rFonts w:hint="eastAsia" w:ascii="宋体" w:hAnsi="宋体" w:eastAsia="宋体" w:cs="宋体"/>
          <w:color w:val="auto"/>
          <w:sz w:val="21"/>
          <w:szCs w:val="21"/>
          <w:highlight w:val="none"/>
          <w:lang w:val="en-US" w:eastAsia="zh-CN"/>
        </w:rPr>
        <w:t>工</w:t>
      </w:r>
      <w:r>
        <w:rPr>
          <w:rFonts w:hint="eastAsia" w:ascii="宋体" w:hAnsi="宋体" w:eastAsia="宋体" w:cs="宋体"/>
          <w:color w:val="auto"/>
          <w:sz w:val="21"/>
          <w:szCs w:val="21"/>
          <w:highlight w:val="none"/>
        </w:rPr>
        <w:t xml:space="preserve">  </w:t>
      </w:r>
    </w:p>
    <w:p w14:paraId="6CF4B52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 18367058222  </w:t>
      </w:r>
    </w:p>
    <w:p w14:paraId="112D72DA">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val="zh-CN"/>
        </w:rPr>
        <w:t>龙游县龙洲街道荣昌路东道35号</w:t>
      </w:r>
      <w:r>
        <w:rPr>
          <w:rFonts w:hint="eastAsia" w:ascii="宋体" w:hAnsi="宋体" w:eastAsia="宋体" w:cs="宋体"/>
          <w:color w:val="auto"/>
          <w:sz w:val="21"/>
          <w:szCs w:val="21"/>
          <w:highlight w:val="none"/>
        </w:rPr>
        <w:t xml:space="preserve">          </w:t>
      </w:r>
      <w:bookmarkEnd w:id="25"/>
      <w:r>
        <w:rPr>
          <w:rFonts w:hint="eastAsia" w:ascii="宋体" w:hAnsi="宋体" w:eastAsia="宋体" w:cs="宋体"/>
          <w:color w:val="auto"/>
          <w:sz w:val="21"/>
          <w:szCs w:val="21"/>
          <w:highlight w:val="none"/>
        </w:rPr>
        <w:t xml:space="preserve">                               </w:t>
      </w:r>
    </w:p>
    <w:p w14:paraId="147DCCF4">
      <w:pPr>
        <w:pageBreakBefore w:val="0"/>
        <w:kinsoku/>
        <w:wordWrap/>
        <w:overflowPunct/>
        <w:topLinePunct w:val="0"/>
        <w:autoSpaceDE/>
        <w:autoSpaceDN/>
        <w:bidi w:val="0"/>
        <w:adjustRightInd/>
        <w:spacing w:line="312" w:lineRule="auto"/>
        <w:ind w:firstLine="480"/>
        <w:textAlignment w:val="auto"/>
        <w:rPr>
          <w:rFonts w:ascii="宋体" w:hAnsi="宋体" w:eastAsia="宋体" w:cs="宋体"/>
          <w:color w:val="auto"/>
          <w:sz w:val="21"/>
          <w:szCs w:val="21"/>
          <w:highlight w:val="none"/>
        </w:rPr>
      </w:pPr>
      <w:bookmarkStart w:id="26" w:name="OLE_LINK9"/>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07</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28</w:t>
      </w:r>
      <w:r>
        <w:rPr>
          <w:rFonts w:hint="eastAsia" w:ascii="宋体" w:hAnsi="宋体" w:eastAsia="宋体" w:cs="宋体"/>
          <w:color w:val="auto"/>
          <w:sz w:val="21"/>
          <w:szCs w:val="21"/>
          <w:highlight w:val="none"/>
        </w:rPr>
        <w:t>日</w:t>
      </w:r>
      <w:bookmarkStart w:id="27" w:name="_Toc356371431"/>
      <w:bookmarkStart w:id="28" w:name="_Toc23908"/>
      <w:bookmarkStart w:id="29" w:name="_Toc359856797"/>
      <w:bookmarkStart w:id="30" w:name="_Toc19502"/>
      <w:bookmarkStart w:id="31" w:name="_Toc3889"/>
      <w:bookmarkStart w:id="32" w:name="_Toc9968"/>
      <w:bookmarkStart w:id="33" w:name="_Toc29347"/>
      <w:bookmarkStart w:id="34" w:name="_Toc4597"/>
    </w:p>
    <w:bookmarkEnd w:id="26"/>
    <w:p w14:paraId="329F7CEC">
      <w:pPr>
        <w:rPr>
          <w:rFonts w:hint="eastAsia" w:ascii="宋体" w:hAnsi="宋体" w:eastAsia="宋体" w:cs="宋体"/>
          <w:b/>
          <w:bCs/>
          <w:color w:val="auto"/>
          <w:sz w:val="44"/>
          <w:szCs w:val="44"/>
          <w:highlight w:val="none"/>
        </w:rPr>
      </w:pPr>
      <w:bookmarkStart w:id="35" w:name="_Toc14962"/>
      <w:r>
        <w:rPr>
          <w:rFonts w:hint="eastAsia" w:ascii="宋体" w:hAnsi="宋体" w:eastAsia="宋体" w:cs="宋体"/>
          <w:b/>
          <w:bCs/>
          <w:color w:val="auto"/>
          <w:sz w:val="44"/>
          <w:szCs w:val="44"/>
          <w:highlight w:val="none"/>
        </w:rPr>
        <w:br w:type="page"/>
      </w:r>
    </w:p>
    <w:p w14:paraId="21B18E89">
      <w:pPr>
        <w:spacing w:line="240" w:lineRule="auto"/>
        <w:ind w:firstLine="0" w:firstLineChars="0"/>
        <w:jc w:val="center"/>
        <w:outlineLvl w:val="0"/>
        <w:rPr>
          <w:rFonts w:ascii="宋体" w:hAnsi="宋体" w:eastAsia="宋体" w:cs="宋体"/>
          <w:color w:val="auto"/>
          <w:sz w:val="28"/>
          <w:szCs w:val="28"/>
          <w:highlight w:val="none"/>
        </w:rPr>
      </w:pPr>
      <w:r>
        <w:rPr>
          <w:rFonts w:hint="eastAsia" w:ascii="宋体" w:hAnsi="宋体" w:eastAsia="宋体" w:cs="宋体"/>
          <w:b/>
          <w:bCs/>
          <w:color w:val="auto"/>
          <w:sz w:val="44"/>
          <w:szCs w:val="44"/>
          <w:highlight w:val="none"/>
        </w:rPr>
        <w:t>第二章  投标人须知前附表</w:t>
      </w:r>
      <w:bookmarkEnd w:id="35"/>
      <w:bookmarkStart w:id="36" w:name="_Toc32308"/>
      <w:bookmarkStart w:id="37" w:name="_Toc2802"/>
      <w:bookmarkStart w:id="38" w:name="_Toc22577"/>
      <w:bookmarkStart w:id="39" w:name="_Toc452528598"/>
      <w:bookmarkStart w:id="40" w:name="_Toc3693"/>
      <w:bookmarkStart w:id="41" w:name="_Toc25420"/>
      <w:bookmarkStart w:id="42" w:name="_Toc25293"/>
      <w:bookmarkStart w:id="43" w:name="_Toc30283"/>
      <w:bookmarkStart w:id="44" w:name="_Toc12268"/>
      <w:bookmarkStart w:id="45" w:name="_Toc16910"/>
      <w:bookmarkStart w:id="46" w:name="_Toc29990"/>
      <w:bookmarkStart w:id="47" w:name="_Toc16595"/>
      <w:bookmarkStart w:id="48" w:name="_Toc30710"/>
      <w:bookmarkStart w:id="49" w:name="_Toc8079"/>
      <w:bookmarkStart w:id="50" w:name="_Toc496962943"/>
    </w:p>
    <w:p w14:paraId="6E660F21">
      <w:pPr>
        <w:spacing w:line="15" w:lineRule="auto"/>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一、投标人须知前附表</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tbl>
      <w:tblPr>
        <w:tblStyle w:val="37"/>
        <w:tblpPr w:leftFromText="180" w:rightFromText="180" w:vertAnchor="text" w:horzAnchor="page" w:tblpX="1510" w:tblpY="1022"/>
        <w:tblW w:w="9620" w:type="dxa"/>
        <w:tblInd w:w="0"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101"/>
        <w:gridCol w:w="6778"/>
      </w:tblGrid>
      <w:tr w14:paraId="79C1021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741" w:type="dxa"/>
            <w:tcBorders>
              <w:top w:val="thinThickSmallGap" w:color="auto" w:sz="12" w:space="0"/>
            </w:tcBorders>
            <w:vAlign w:val="center"/>
          </w:tcPr>
          <w:p w14:paraId="1C5017F9">
            <w:pPr>
              <w:tabs>
                <w:tab w:val="left" w:pos="0"/>
              </w:tabs>
              <w:autoSpaceDE w:val="0"/>
              <w:autoSpaceDN w:val="0"/>
              <w:adjustRightInd w:val="0"/>
              <w:spacing w:line="15" w:lineRule="auto"/>
              <w:ind w:firstLine="0" w:firstLineChars="0"/>
              <w:jc w:val="center"/>
              <w:rPr>
                <w:rFonts w:ascii="宋体" w:hAnsi="宋体" w:eastAsia="宋体" w:cs="宋体"/>
                <w:color w:val="auto"/>
                <w:sz w:val="21"/>
                <w:szCs w:val="21"/>
                <w:highlight w:val="none"/>
              </w:rPr>
            </w:pPr>
            <w:bookmarkStart w:id="51" w:name="_Toc4869"/>
            <w:bookmarkStart w:id="52" w:name="_Toc18810"/>
            <w:bookmarkStart w:id="53" w:name="_Toc13289"/>
            <w:bookmarkStart w:id="54" w:name="_Toc21112"/>
            <w:bookmarkStart w:id="55" w:name="_Toc6386"/>
            <w:bookmarkStart w:id="56" w:name="_Toc27295"/>
            <w:r>
              <w:rPr>
                <w:rFonts w:hint="eastAsia" w:ascii="宋体" w:hAnsi="宋体" w:eastAsia="宋体" w:cs="宋体"/>
                <w:color w:val="auto"/>
                <w:sz w:val="21"/>
                <w:szCs w:val="21"/>
                <w:highlight w:val="none"/>
              </w:rPr>
              <w:t>号</w:t>
            </w:r>
          </w:p>
        </w:tc>
        <w:tc>
          <w:tcPr>
            <w:tcW w:w="2101" w:type="dxa"/>
            <w:tcBorders>
              <w:top w:val="thinThickSmallGap" w:color="auto" w:sz="12" w:space="0"/>
            </w:tcBorders>
            <w:vAlign w:val="center"/>
          </w:tcPr>
          <w:p w14:paraId="2C2C228C">
            <w:pPr>
              <w:tabs>
                <w:tab w:val="left" w:pos="0"/>
              </w:tabs>
              <w:autoSpaceDE w:val="0"/>
              <w:autoSpaceDN w:val="0"/>
              <w:adjustRightInd w:val="0"/>
              <w:spacing w:line="15"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内  容</w:t>
            </w:r>
          </w:p>
        </w:tc>
        <w:tc>
          <w:tcPr>
            <w:tcW w:w="6778" w:type="dxa"/>
            <w:tcBorders>
              <w:top w:val="thinThickSmallGap" w:color="auto" w:sz="12" w:space="0"/>
            </w:tcBorders>
            <w:vAlign w:val="center"/>
          </w:tcPr>
          <w:p w14:paraId="0D494EC0">
            <w:pPr>
              <w:tabs>
                <w:tab w:val="left" w:pos="0"/>
              </w:tabs>
              <w:spacing w:line="15"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说明与要求</w:t>
            </w:r>
          </w:p>
        </w:tc>
      </w:tr>
      <w:tr w14:paraId="5DB5F1E4">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41" w:type="dxa"/>
            <w:vAlign w:val="center"/>
          </w:tcPr>
          <w:p w14:paraId="658E2C50">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101" w:type="dxa"/>
            <w:vAlign w:val="center"/>
          </w:tcPr>
          <w:p w14:paraId="52A53664">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w:t>
            </w:r>
          </w:p>
        </w:tc>
        <w:tc>
          <w:tcPr>
            <w:tcW w:w="6778" w:type="dxa"/>
            <w:vAlign w:val="center"/>
          </w:tcPr>
          <w:p w14:paraId="13DD41A5">
            <w:pPr>
              <w:tabs>
                <w:tab w:val="left" w:pos="0"/>
              </w:tabs>
              <w:autoSpaceDE w:val="0"/>
              <w:autoSpaceDN w:val="0"/>
              <w:adjustRightInd w:val="0"/>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龙游华水水业发展有限公司</w:t>
            </w:r>
          </w:p>
        </w:tc>
      </w:tr>
      <w:tr w14:paraId="066C0DB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41" w:type="dxa"/>
            <w:vAlign w:val="center"/>
          </w:tcPr>
          <w:p w14:paraId="68CE9E43">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101" w:type="dxa"/>
            <w:vAlign w:val="center"/>
          </w:tcPr>
          <w:p w14:paraId="025CC93B">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w:t>
            </w:r>
          </w:p>
        </w:tc>
        <w:tc>
          <w:tcPr>
            <w:tcW w:w="6778" w:type="dxa"/>
            <w:vAlign w:val="center"/>
          </w:tcPr>
          <w:p w14:paraId="13730AE7">
            <w:pPr>
              <w:tabs>
                <w:tab w:val="left" w:pos="0"/>
              </w:tabs>
              <w:autoSpaceDE w:val="0"/>
              <w:autoSpaceDN w:val="0"/>
              <w:adjustRightInd w:val="0"/>
              <w:spacing w:line="240" w:lineRule="auto"/>
              <w:ind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2025年龙游华水水业发展有限公司劳务承包采购项目（重招）</w:t>
            </w:r>
          </w:p>
        </w:tc>
      </w:tr>
      <w:tr w14:paraId="563E7B3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41" w:type="dxa"/>
            <w:vAlign w:val="center"/>
          </w:tcPr>
          <w:p w14:paraId="423B94D8">
            <w:pPr>
              <w:tabs>
                <w:tab w:val="left" w:pos="0"/>
              </w:tabs>
              <w:autoSpaceDE w:val="0"/>
              <w:autoSpaceDN w:val="0"/>
              <w:adjustRightInd w:val="0"/>
              <w:spacing w:line="24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101" w:type="dxa"/>
            <w:vAlign w:val="center"/>
          </w:tcPr>
          <w:p w14:paraId="63AAA7C9">
            <w:pPr>
              <w:tabs>
                <w:tab w:val="left" w:pos="0"/>
              </w:tabs>
              <w:autoSpaceDE w:val="0"/>
              <w:autoSpaceDN w:val="0"/>
              <w:adjustRightInd w:val="0"/>
              <w:spacing w:line="240" w:lineRule="auto"/>
              <w:ind w:firstLine="0" w:firstLineChars="0"/>
              <w:jc w:val="left"/>
              <w:rPr>
                <w:rFonts w:ascii="宋体" w:hAnsi="宋体" w:eastAsia="宋体" w:cs="宋体"/>
                <w:color w:val="auto"/>
                <w:sz w:val="21"/>
                <w:szCs w:val="21"/>
                <w:highlight w:val="none"/>
              </w:rPr>
            </w:pPr>
            <w:r>
              <w:rPr>
                <w:rFonts w:ascii="宋体" w:hAnsi="宋体" w:eastAsia="宋体" w:cs="宋体"/>
                <w:color w:val="auto"/>
                <w:sz w:val="21"/>
                <w:szCs w:val="21"/>
                <w:highlight w:val="none"/>
              </w:rPr>
              <w:t>采购</w:t>
            </w:r>
            <w:r>
              <w:rPr>
                <w:rFonts w:hint="eastAsia" w:ascii="宋体" w:hAnsi="宋体" w:eastAsia="宋体" w:cs="宋体"/>
                <w:color w:val="auto"/>
                <w:sz w:val="21"/>
                <w:szCs w:val="21"/>
                <w:highlight w:val="none"/>
              </w:rPr>
              <w:t>最高限价</w:t>
            </w:r>
          </w:p>
        </w:tc>
        <w:tc>
          <w:tcPr>
            <w:tcW w:w="6778" w:type="dxa"/>
            <w:vAlign w:val="center"/>
          </w:tcPr>
          <w:p w14:paraId="369FC530">
            <w:pPr>
              <w:tabs>
                <w:tab w:val="left" w:pos="0"/>
              </w:tabs>
              <w:autoSpaceDE w:val="0"/>
              <w:autoSpaceDN w:val="0"/>
              <w:adjustRightInd w:val="0"/>
              <w:spacing w:line="24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预算金额：</w:t>
            </w:r>
            <w:r>
              <w:rPr>
                <w:rFonts w:hint="eastAsia" w:ascii="宋体" w:hAnsi="宋体" w:eastAsia="宋体" w:cs="宋体"/>
                <w:color w:val="auto"/>
                <w:sz w:val="21"/>
                <w:szCs w:val="21"/>
                <w:highlight w:val="none"/>
                <w:lang w:val="en-US" w:eastAsia="zh-CN"/>
              </w:rPr>
              <w:t>28万元；最高限价：278640元</w:t>
            </w:r>
          </w:p>
        </w:tc>
      </w:tr>
      <w:tr w14:paraId="3E285C9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741" w:type="dxa"/>
            <w:vAlign w:val="center"/>
          </w:tcPr>
          <w:p w14:paraId="1A60733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101" w:type="dxa"/>
            <w:vAlign w:val="center"/>
          </w:tcPr>
          <w:p w14:paraId="352F4F6C">
            <w:pPr>
              <w:widowControl/>
              <w:ind w:firstLine="0" w:firstLineChars="0"/>
              <w:jc w:val="left"/>
              <w:rPr>
                <w:rFonts w:ascii="宋体" w:hAnsi="宋体" w:eastAsia="宋体" w:cs="宋体"/>
                <w:color w:val="auto"/>
                <w:sz w:val="21"/>
                <w:szCs w:val="21"/>
                <w:highlight w:val="none"/>
              </w:rPr>
            </w:pPr>
            <w:r>
              <w:rPr>
                <w:rFonts w:ascii="仿宋" w:hAnsi="仿宋" w:cs="仿宋"/>
                <w:color w:val="auto"/>
                <w:kern w:val="0"/>
                <w:sz w:val="21"/>
                <w:szCs w:val="21"/>
                <w:highlight w:val="none"/>
              </w:rPr>
              <w:t>▲</w:t>
            </w:r>
            <w:r>
              <w:rPr>
                <w:rFonts w:hint="eastAsia" w:ascii="宋体" w:hAnsi="宋体" w:eastAsia="宋体" w:cs="宋体"/>
                <w:color w:val="auto"/>
                <w:sz w:val="21"/>
                <w:szCs w:val="21"/>
                <w:highlight w:val="none"/>
              </w:rPr>
              <w:t>投标报价及费用</w:t>
            </w:r>
          </w:p>
        </w:tc>
        <w:tc>
          <w:tcPr>
            <w:tcW w:w="6778" w:type="dxa"/>
            <w:vAlign w:val="center"/>
          </w:tcPr>
          <w:p w14:paraId="6162F726">
            <w:pPr>
              <w:pStyle w:val="19"/>
              <w:snapToGrid w:val="0"/>
              <w:spacing w:line="360" w:lineRule="exact"/>
              <w:ind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1.本次报价为一次性报价，报价币种为人民币，中标（成交）供应商的投标报价是履行合同的最终价格，报价应包括完成合同所涉及的全部内容，包含但不仅限于</w:t>
            </w:r>
            <w:r>
              <w:rPr>
                <w:rFonts w:hint="eastAsia"/>
                <w:color w:val="auto"/>
                <w:highlight w:val="none"/>
              </w:rPr>
              <w:t>承包完成本次项目需完成全部工作所发生的所有费用，包括：工资、福利、</w:t>
            </w:r>
            <w:r>
              <w:rPr>
                <w:rFonts w:hint="eastAsia"/>
                <w:color w:val="auto"/>
                <w:highlight w:val="none"/>
                <w:lang w:val="en-US" w:eastAsia="zh-CN"/>
              </w:rPr>
              <w:t>高温费、节假日加班、</w:t>
            </w:r>
            <w:r>
              <w:rPr>
                <w:rFonts w:hint="eastAsia"/>
                <w:color w:val="auto"/>
                <w:highlight w:val="none"/>
              </w:rPr>
              <w:t>社保、</w:t>
            </w:r>
            <w:r>
              <w:rPr>
                <w:rFonts w:hint="eastAsia"/>
                <w:color w:val="auto"/>
                <w:highlight w:val="none"/>
                <w:lang w:val="en-US" w:eastAsia="zh-CN"/>
              </w:rPr>
              <w:t>意外伤害保险</w:t>
            </w:r>
            <w:r>
              <w:rPr>
                <w:rFonts w:hint="eastAsia"/>
                <w:color w:val="auto"/>
                <w:highlight w:val="none"/>
              </w:rPr>
              <w:t>、</w:t>
            </w:r>
            <w:r>
              <w:rPr>
                <w:rFonts w:hint="eastAsia"/>
                <w:color w:val="auto"/>
                <w:highlight w:val="none"/>
                <w:lang w:val="en-US" w:eastAsia="zh-CN"/>
              </w:rPr>
              <w:t>服装费、残保金、工会费</w:t>
            </w:r>
            <w:r>
              <w:rPr>
                <w:rFonts w:hint="eastAsia"/>
                <w:color w:val="auto"/>
                <w:highlight w:val="none"/>
              </w:rPr>
              <w:t>等相关费用</w:t>
            </w:r>
            <w:r>
              <w:rPr>
                <w:rFonts w:hint="eastAsia"/>
                <w:color w:val="auto"/>
                <w:highlight w:val="none"/>
                <w:lang w:val="en-US" w:eastAsia="zh-CN"/>
              </w:rPr>
              <w:t>报价固定（计248400元），</w:t>
            </w:r>
            <w:r>
              <w:rPr>
                <w:rFonts w:hint="eastAsia"/>
                <w:color w:val="auto"/>
                <w:highlight w:val="none"/>
              </w:rPr>
              <w:t>磋商供应商应结合本项目特点，市场行情及供应商自身的技术，管理水平，竞争能力，确定</w:t>
            </w:r>
            <w:r>
              <w:rPr>
                <w:rFonts w:hint="eastAsia"/>
                <w:color w:val="auto"/>
                <w:highlight w:val="none"/>
                <w:lang w:val="en-US" w:eastAsia="zh-CN"/>
              </w:rPr>
              <w:t>管理费及税金的（计30240元）</w:t>
            </w:r>
            <w:r>
              <w:rPr>
                <w:rFonts w:hint="eastAsia"/>
                <w:color w:val="auto"/>
                <w:highlight w:val="none"/>
              </w:rPr>
              <w:t>最终报价。</w:t>
            </w:r>
          </w:p>
          <w:p w14:paraId="3602626F">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2、不论投标结果如何，投标人均应自行承担所有与投标有关的全部费用。</w:t>
            </w:r>
          </w:p>
        </w:tc>
      </w:tr>
      <w:tr w14:paraId="40E7D3BC">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41" w:type="dxa"/>
            <w:vAlign w:val="center"/>
          </w:tcPr>
          <w:p w14:paraId="1F8FBD08">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101" w:type="dxa"/>
            <w:vAlign w:val="center"/>
          </w:tcPr>
          <w:p w14:paraId="483F8FC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报名地点</w:t>
            </w:r>
          </w:p>
        </w:tc>
        <w:tc>
          <w:tcPr>
            <w:tcW w:w="6778" w:type="dxa"/>
            <w:vAlign w:val="center"/>
          </w:tcPr>
          <w:p w14:paraId="65451852">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详见采购公告</w:t>
            </w:r>
          </w:p>
        </w:tc>
      </w:tr>
      <w:tr w14:paraId="54FB669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741" w:type="dxa"/>
            <w:vAlign w:val="center"/>
          </w:tcPr>
          <w:p w14:paraId="73712142">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6</w:t>
            </w:r>
          </w:p>
        </w:tc>
        <w:tc>
          <w:tcPr>
            <w:tcW w:w="2101" w:type="dxa"/>
            <w:vAlign w:val="center"/>
          </w:tcPr>
          <w:p w14:paraId="2D52997F">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资金落实情况</w:t>
            </w:r>
          </w:p>
        </w:tc>
        <w:tc>
          <w:tcPr>
            <w:tcW w:w="6778" w:type="dxa"/>
            <w:vAlign w:val="center"/>
          </w:tcPr>
          <w:p w14:paraId="33095D0A">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已落实</w:t>
            </w:r>
          </w:p>
        </w:tc>
      </w:tr>
      <w:tr w14:paraId="2CD1E22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Align w:val="center"/>
          </w:tcPr>
          <w:p w14:paraId="59D3F8FC">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7</w:t>
            </w:r>
          </w:p>
        </w:tc>
        <w:tc>
          <w:tcPr>
            <w:tcW w:w="2101" w:type="dxa"/>
            <w:vAlign w:val="center"/>
          </w:tcPr>
          <w:p w14:paraId="097B3FB0">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采购内容</w:t>
            </w:r>
          </w:p>
        </w:tc>
        <w:tc>
          <w:tcPr>
            <w:tcW w:w="6778" w:type="dxa"/>
            <w:vAlign w:val="center"/>
          </w:tcPr>
          <w:p w14:paraId="30D0C1F0">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详见第三章采购内容及要求</w:t>
            </w:r>
          </w:p>
        </w:tc>
      </w:tr>
      <w:tr w14:paraId="67164E07">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741" w:type="dxa"/>
            <w:vAlign w:val="center"/>
          </w:tcPr>
          <w:p w14:paraId="6FDEC259">
            <w:pPr>
              <w:pStyle w:val="55"/>
              <w:snapToGrid w:val="0"/>
              <w:spacing w:beforeAutospacing="0" w:afterAutospacing="0" w:line="360" w:lineRule="exact"/>
              <w:ind w:firstLine="0" w:firstLineChars="0"/>
              <w:jc w:val="center"/>
              <w:rPr>
                <w:rFonts w:hint="eastAsia" w:eastAsia="宋体"/>
                <w:color w:val="auto"/>
                <w:sz w:val="21"/>
                <w:szCs w:val="21"/>
                <w:highlight w:val="none"/>
              </w:rPr>
            </w:pPr>
            <w:r>
              <w:rPr>
                <w:rFonts w:hint="eastAsia" w:eastAsia="宋体"/>
                <w:color w:val="auto"/>
                <w:sz w:val="21"/>
                <w:szCs w:val="21"/>
                <w:highlight w:val="none"/>
              </w:rPr>
              <w:t>8</w:t>
            </w:r>
          </w:p>
        </w:tc>
        <w:tc>
          <w:tcPr>
            <w:tcW w:w="2101" w:type="dxa"/>
            <w:vAlign w:val="center"/>
          </w:tcPr>
          <w:p w14:paraId="13C65573">
            <w:pPr>
              <w:pStyle w:val="55"/>
              <w:snapToGrid w:val="0"/>
              <w:spacing w:beforeAutospacing="0" w:afterAutospacing="0" w:line="360" w:lineRule="exact"/>
              <w:ind w:firstLine="0" w:firstLineChars="0"/>
              <w:rPr>
                <w:rFonts w:hint="eastAsia" w:ascii="宋体" w:hAnsi="宋体" w:eastAsia="宋体" w:cs="宋体"/>
                <w:color w:val="auto"/>
                <w:sz w:val="21"/>
                <w:szCs w:val="21"/>
                <w:highlight w:val="none"/>
              </w:rPr>
            </w:pPr>
            <w:r>
              <w:rPr>
                <w:rFonts w:hint="eastAsia" w:eastAsia="宋体"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期</w:t>
            </w:r>
          </w:p>
        </w:tc>
        <w:tc>
          <w:tcPr>
            <w:tcW w:w="6778" w:type="dxa"/>
            <w:vAlign w:val="center"/>
          </w:tcPr>
          <w:p w14:paraId="0C3F6E91">
            <w:pPr>
              <w:pStyle w:val="55"/>
              <w:snapToGrid w:val="0"/>
              <w:spacing w:beforeAutospacing="0" w:afterAutospacing="0" w:line="36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1年</w:t>
            </w:r>
          </w:p>
        </w:tc>
      </w:tr>
      <w:tr w14:paraId="6D11F2F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41" w:type="dxa"/>
            <w:vAlign w:val="center"/>
          </w:tcPr>
          <w:p w14:paraId="46847F74">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9</w:t>
            </w:r>
          </w:p>
        </w:tc>
        <w:tc>
          <w:tcPr>
            <w:tcW w:w="2101" w:type="dxa"/>
            <w:vAlign w:val="center"/>
          </w:tcPr>
          <w:p w14:paraId="625922D2">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投标人资格要求</w:t>
            </w:r>
          </w:p>
        </w:tc>
        <w:tc>
          <w:tcPr>
            <w:tcW w:w="6778" w:type="dxa"/>
            <w:vAlign w:val="center"/>
          </w:tcPr>
          <w:p w14:paraId="17885494">
            <w:pPr>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详见采购公告</w:t>
            </w:r>
          </w:p>
        </w:tc>
      </w:tr>
      <w:tr w14:paraId="0E2B1FE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41" w:type="dxa"/>
            <w:vAlign w:val="center"/>
          </w:tcPr>
          <w:p w14:paraId="65B0BC0A">
            <w:pPr>
              <w:pStyle w:val="55"/>
              <w:snapToGrid w:val="0"/>
              <w:spacing w:beforeAutospacing="0" w:afterAutospacing="0" w:line="360" w:lineRule="exact"/>
              <w:ind w:firstLine="0" w:firstLineChars="0"/>
              <w:jc w:val="center"/>
              <w:rPr>
                <w:rFonts w:eastAsia="宋体"/>
                <w:color w:val="auto"/>
                <w:sz w:val="21"/>
                <w:szCs w:val="21"/>
                <w:highlight w:val="none"/>
              </w:rPr>
            </w:pPr>
            <w:r>
              <w:rPr>
                <w:rFonts w:hint="eastAsia" w:eastAsia="宋体"/>
                <w:color w:val="auto"/>
                <w:sz w:val="21"/>
                <w:szCs w:val="21"/>
                <w:highlight w:val="none"/>
              </w:rPr>
              <w:t>10</w:t>
            </w:r>
          </w:p>
        </w:tc>
        <w:tc>
          <w:tcPr>
            <w:tcW w:w="2101" w:type="dxa"/>
            <w:vAlign w:val="center"/>
          </w:tcPr>
          <w:p w14:paraId="226D01D7">
            <w:pPr>
              <w:pStyle w:val="55"/>
              <w:snapToGrid w:val="0"/>
              <w:spacing w:beforeAutospacing="0" w:afterAutospacing="0" w:line="360" w:lineRule="exact"/>
              <w:ind w:firstLine="0" w:firstLineChars="0"/>
              <w:rPr>
                <w:rFonts w:eastAsia="宋体"/>
                <w:color w:val="auto"/>
                <w:sz w:val="21"/>
                <w:szCs w:val="21"/>
                <w:highlight w:val="none"/>
              </w:rPr>
            </w:pPr>
            <w:r>
              <w:rPr>
                <w:rFonts w:hint="eastAsia" w:eastAsia="宋体"/>
                <w:color w:val="auto"/>
                <w:sz w:val="21"/>
                <w:szCs w:val="21"/>
                <w:highlight w:val="none"/>
              </w:rPr>
              <w:t>是否接受联合体</w:t>
            </w:r>
          </w:p>
        </w:tc>
        <w:tc>
          <w:tcPr>
            <w:tcW w:w="6778" w:type="dxa"/>
            <w:vAlign w:val="center"/>
          </w:tcPr>
          <w:p w14:paraId="7DC7EA00">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不接受</w:t>
            </w:r>
          </w:p>
        </w:tc>
      </w:tr>
      <w:tr w14:paraId="723745A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741" w:type="dxa"/>
            <w:vAlign w:val="center"/>
          </w:tcPr>
          <w:p w14:paraId="4EFB4C00">
            <w:pPr>
              <w:snapToGri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101" w:type="dxa"/>
            <w:vAlign w:val="center"/>
          </w:tcPr>
          <w:p w14:paraId="2B8ED53A">
            <w:pPr>
              <w:snapToGri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778" w:type="dxa"/>
            <w:vAlign w:val="center"/>
          </w:tcPr>
          <w:p w14:paraId="692C75CF">
            <w:pPr>
              <w:snapToGri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p>
        </w:tc>
      </w:tr>
      <w:tr w14:paraId="0DCE402F">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741" w:type="dxa"/>
            <w:vAlign w:val="center"/>
          </w:tcPr>
          <w:p w14:paraId="73CD12D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101" w:type="dxa"/>
            <w:vAlign w:val="center"/>
          </w:tcPr>
          <w:p w14:paraId="375E09E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778" w:type="dxa"/>
            <w:vAlign w:val="center"/>
          </w:tcPr>
          <w:p w14:paraId="4A8B2C7B">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自投标人递交投标文件截止之日起计算90天</w:t>
            </w:r>
          </w:p>
        </w:tc>
      </w:tr>
      <w:tr w14:paraId="2E33F88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741" w:type="dxa"/>
            <w:vAlign w:val="center"/>
          </w:tcPr>
          <w:p w14:paraId="00F5DD8F">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101" w:type="dxa"/>
            <w:vAlign w:val="center"/>
          </w:tcPr>
          <w:p w14:paraId="660BFFA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开启投标文件地点</w:t>
            </w:r>
          </w:p>
        </w:tc>
        <w:tc>
          <w:tcPr>
            <w:tcW w:w="6778" w:type="dxa"/>
            <w:vAlign w:val="center"/>
          </w:tcPr>
          <w:p w14:paraId="28DE5CA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龙游县水务集团有限公司一楼开标室  </w:t>
            </w:r>
          </w:p>
        </w:tc>
      </w:tr>
      <w:tr w14:paraId="2ECE7F4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2404" w:hRule="atLeast"/>
        </w:trPr>
        <w:tc>
          <w:tcPr>
            <w:tcW w:w="741" w:type="dxa"/>
            <w:vAlign w:val="center"/>
          </w:tcPr>
          <w:p w14:paraId="22327ACD">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101" w:type="dxa"/>
            <w:vAlign w:val="center"/>
          </w:tcPr>
          <w:p w14:paraId="16112CD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投标文件份数</w:t>
            </w:r>
          </w:p>
        </w:tc>
        <w:tc>
          <w:tcPr>
            <w:tcW w:w="6778" w:type="dxa"/>
            <w:vAlign w:val="center"/>
          </w:tcPr>
          <w:p w14:paraId="5B7F9112">
            <w:pPr>
              <w:pStyle w:val="19"/>
              <w:snapToGrid w:val="0"/>
              <w:spacing w:line="360" w:lineRule="exact"/>
              <w:ind w:firstLine="0" w:firstLineChars="0"/>
              <w:rPr>
                <w:rFonts w:hAnsi="宋体"/>
                <w:color w:val="auto"/>
                <w:sz w:val="21"/>
                <w:szCs w:val="21"/>
                <w:highlight w:val="none"/>
              </w:rPr>
            </w:pPr>
            <w:r>
              <w:rPr>
                <w:rFonts w:ascii="Arial" w:hAnsi="Arial" w:cs="Arial"/>
                <w:color w:val="auto"/>
                <w:sz w:val="21"/>
                <w:szCs w:val="21"/>
                <w:highlight w:val="none"/>
                <w:lang w:val="zh-CN"/>
              </w:rPr>
              <w:t>资格审查文件</w:t>
            </w:r>
            <w:r>
              <w:rPr>
                <w:rFonts w:hint="eastAsia" w:hAnsi="宋体"/>
                <w:color w:val="auto"/>
                <w:sz w:val="21"/>
                <w:szCs w:val="21"/>
                <w:highlight w:val="none"/>
              </w:rPr>
              <w:t>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16D26D55">
            <w:pPr>
              <w:pStyle w:val="19"/>
              <w:snapToGrid w:val="0"/>
              <w:spacing w:line="360" w:lineRule="exact"/>
              <w:ind w:firstLine="0" w:firstLineChars="0"/>
              <w:rPr>
                <w:rFonts w:hAnsi="宋体"/>
                <w:color w:val="auto"/>
                <w:sz w:val="21"/>
                <w:szCs w:val="21"/>
                <w:highlight w:val="none"/>
              </w:rPr>
            </w:pPr>
            <w:r>
              <w:rPr>
                <w:rFonts w:hint="eastAsia" w:hAnsi="宋体"/>
                <w:color w:val="auto"/>
                <w:sz w:val="21"/>
                <w:szCs w:val="21"/>
                <w:highlight w:val="none"/>
              </w:rPr>
              <w:t>商务技术文件一份正本，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2C770F53">
            <w:pPr>
              <w:pStyle w:val="19"/>
              <w:snapToGrid w:val="0"/>
              <w:spacing w:line="360" w:lineRule="exact"/>
              <w:ind w:firstLine="0" w:firstLineChars="0"/>
              <w:rPr>
                <w:rFonts w:hAnsi="宋体"/>
                <w:color w:val="auto"/>
                <w:sz w:val="21"/>
                <w:szCs w:val="21"/>
                <w:highlight w:val="none"/>
              </w:rPr>
            </w:pPr>
            <w:r>
              <w:rPr>
                <w:rFonts w:hint="eastAsia" w:hAnsi="宋体"/>
                <w:color w:val="auto"/>
                <w:sz w:val="21"/>
                <w:szCs w:val="21"/>
                <w:highlight w:val="none"/>
              </w:rPr>
              <w:t>商务报价文件一份正本，</w:t>
            </w:r>
            <w:r>
              <w:rPr>
                <w:rFonts w:hint="eastAsia" w:hAnsi="宋体"/>
                <w:color w:val="auto"/>
                <w:sz w:val="21"/>
                <w:szCs w:val="21"/>
                <w:highlight w:val="none"/>
                <w:lang w:val="en-US" w:eastAsia="zh-CN"/>
              </w:rPr>
              <w:t>二</w:t>
            </w:r>
            <w:r>
              <w:rPr>
                <w:rFonts w:hint="eastAsia" w:hAnsi="宋体"/>
                <w:color w:val="auto"/>
                <w:sz w:val="21"/>
                <w:szCs w:val="21"/>
                <w:highlight w:val="none"/>
              </w:rPr>
              <w:t>份副本（正、副本分别装订，密封一袋）</w:t>
            </w:r>
          </w:p>
          <w:p w14:paraId="6A340628">
            <w:pPr>
              <w:pStyle w:val="19"/>
              <w:snapToGrid w:val="0"/>
              <w:spacing w:line="320" w:lineRule="exact"/>
              <w:ind w:firstLine="210" w:firstLineChars="100"/>
              <w:rPr>
                <w:color w:val="auto"/>
                <w:sz w:val="21"/>
                <w:szCs w:val="21"/>
                <w:highlight w:val="none"/>
              </w:rPr>
            </w:pPr>
            <w:r>
              <w:rPr>
                <w:rFonts w:hint="eastAsia" w:ascii="宋体" w:hAnsi="宋体" w:eastAsia="宋体" w:cs="宋体"/>
                <w:color w:val="auto"/>
                <w:sz w:val="21"/>
                <w:szCs w:val="21"/>
                <w:highlight w:val="none"/>
                <w:lang w:val="zh-CN"/>
              </w:rPr>
              <w:t>正本和副本的封面上应当清楚地标记“正本”或者“副本”字样；正本和副本不一致时，以正本为准。副本可采用正本复印，</w:t>
            </w:r>
            <w:r>
              <w:rPr>
                <w:rFonts w:hint="eastAsia" w:ascii="宋体" w:hAnsi="宋体" w:eastAsia="宋体" w:cs="宋体"/>
                <w:color w:val="auto"/>
                <w:sz w:val="21"/>
                <w:szCs w:val="21"/>
                <w:highlight w:val="none"/>
              </w:rPr>
              <w:t>各部分每册采用左侧书本装订方式装订，装订应牢固、不易拆散和换页，不得采用活页装订。</w:t>
            </w:r>
          </w:p>
        </w:tc>
      </w:tr>
      <w:tr w14:paraId="601CC23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278228F2">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101" w:type="dxa"/>
            <w:vAlign w:val="center"/>
          </w:tcPr>
          <w:p w14:paraId="4CDC24D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投标文件递交</w:t>
            </w:r>
          </w:p>
        </w:tc>
        <w:tc>
          <w:tcPr>
            <w:tcW w:w="6778" w:type="dxa"/>
            <w:vAlign w:val="center"/>
          </w:tcPr>
          <w:p w14:paraId="27909CA1">
            <w:pPr>
              <w:tabs>
                <w:tab w:val="left" w:pos="0"/>
              </w:tabs>
              <w:autoSpaceDE w:val="0"/>
              <w:autoSpaceDN w:val="0"/>
              <w:adjustRightInd w:val="0"/>
              <w:spacing w:line="360" w:lineRule="exact"/>
              <w:ind w:firstLine="0" w:firstLineChars="0"/>
              <w:rPr>
                <w:rFonts w:ascii="宋体" w:hAnsi="宋体" w:eastAsia="宋体" w:cs="宋体"/>
                <w:color w:val="auto"/>
                <w:sz w:val="21"/>
                <w:szCs w:val="21"/>
                <w:highlight w:val="none"/>
              </w:rPr>
            </w:pPr>
            <w:r>
              <w:rPr>
                <w:rFonts w:hint="eastAsia" w:ascii="宋体" w:hAnsi="Courier New" w:eastAsia="宋体" w:cs="宋体"/>
                <w:color w:val="auto"/>
                <w:kern w:val="2"/>
                <w:sz w:val="21"/>
                <w:szCs w:val="21"/>
                <w:highlight w:val="none"/>
                <w:lang w:val="zh-CN" w:eastAsia="zh-CN" w:bidi="ar-SA"/>
              </w:rPr>
              <w:t>详见采购公告</w:t>
            </w:r>
          </w:p>
        </w:tc>
      </w:tr>
      <w:tr w14:paraId="6CF177C9">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6ABFA6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bookmarkStart w:id="57" w:name="_Toc1283"/>
            <w:bookmarkStart w:id="58" w:name="_Toc359856798"/>
            <w:bookmarkStart w:id="59" w:name="_Toc20494"/>
            <w:bookmarkStart w:id="60" w:name="_Toc17589"/>
            <w:bookmarkStart w:id="61" w:name="_Toc11810"/>
            <w:bookmarkStart w:id="62" w:name="_Toc356371433"/>
            <w:bookmarkStart w:id="63" w:name="_Toc30606"/>
            <w:bookmarkStart w:id="64" w:name="_Toc3193"/>
            <w:r>
              <w:rPr>
                <w:rFonts w:hint="eastAsia" w:ascii="宋体" w:hAnsi="宋体" w:eastAsia="宋体" w:cs="宋体"/>
                <w:color w:val="auto"/>
                <w:sz w:val="21"/>
                <w:szCs w:val="21"/>
                <w:highlight w:val="none"/>
              </w:rPr>
              <w:t>16</w:t>
            </w:r>
          </w:p>
        </w:tc>
        <w:tc>
          <w:tcPr>
            <w:tcW w:w="2101" w:type="dxa"/>
            <w:vAlign w:val="center"/>
          </w:tcPr>
          <w:p w14:paraId="7AB2588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w:t>
            </w:r>
          </w:p>
        </w:tc>
        <w:tc>
          <w:tcPr>
            <w:tcW w:w="6778" w:type="dxa"/>
            <w:vAlign w:val="center"/>
          </w:tcPr>
          <w:p w14:paraId="71A01E3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06</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15:00</w:t>
            </w:r>
            <w:r>
              <w:rPr>
                <w:rFonts w:hint="eastAsia" w:ascii="宋体" w:hAnsi="宋体" w:eastAsia="宋体" w:cs="宋体"/>
                <w:color w:val="auto"/>
                <w:sz w:val="21"/>
                <w:szCs w:val="21"/>
                <w:highlight w:val="none"/>
              </w:rPr>
              <w:t>时</w:t>
            </w:r>
            <w:r>
              <w:rPr>
                <w:rFonts w:hint="eastAsia" w:ascii="宋体" w:hAnsi="宋体" w:eastAsia="宋体" w:cs="宋体"/>
                <w:color w:val="auto"/>
                <w:kern w:val="2"/>
                <w:sz w:val="21"/>
                <w:szCs w:val="21"/>
                <w:highlight w:val="none"/>
                <w:lang w:val="en-US" w:eastAsia="zh-CN" w:bidi="ar-SA"/>
              </w:rPr>
              <w:t>（北京时间）</w:t>
            </w:r>
          </w:p>
        </w:tc>
      </w:tr>
      <w:tr w14:paraId="34BC87B1">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5E911C2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2101" w:type="dxa"/>
            <w:vAlign w:val="center"/>
          </w:tcPr>
          <w:p w14:paraId="240D2D1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开标地点：</w:t>
            </w:r>
          </w:p>
        </w:tc>
        <w:tc>
          <w:tcPr>
            <w:tcW w:w="6778" w:type="dxa"/>
            <w:vAlign w:val="center"/>
          </w:tcPr>
          <w:p w14:paraId="7206D1C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龙游县水务集团有限公司1楼开标室     </w:t>
            </w:r>
          </w:p>
        </w:tc>
      </w:tr>
      <w:tr w14:paraId="23D5629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93FF4F1">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2101" w:type="dxa"/>
            <w:vAlign w:val="center"/>
          </w:tcPr>
          <w:p w14:paraId="244CC32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评标办法</w:t>
            </w:r>
          </w:p>
        </w:tc>
        <w:tc>
          <w:tcPr>
            <w:tcW w:w="6778" w:type="dxa"/>
            <w:vAlign w:val="center"/>
          </w:tcPr>
          <w:p w14:paraId="2CBFF1D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综合评分法</w:t>
            </w:r>
          </w:p>
        </w:tc>
      </w:tr>
      <w:tr w14:paraId="43B2DBC6">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5B38AE55">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2101" w:type="dxa"/>
            <w:vAlign w:val="center"/>
          </w:tcPr>
          <w:p w14:paraId="16B97B9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中标结果公告</w:t>
            </w:r>
          </w:p>
        </w:tc>
        <w:tc>
          <w:tcPr>
            <w:tcW w:w="6778" w:type="dxa"/>
            <w:vAlign w:val="center"/>
          </w:tcPr>
          <w:p w14:paraId="5047CA5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结果经采购人确认后2个工作日内，采购代理机构将对外发布中标成交公告和中标通知书。采购代理机构按相关政府采购规定将中标结果发布在龙游县水务集团有限公司网站上进行公示，公示期为1个工作日。采购人、采购代理机构及评标委员会对未中标的投标人不作落标原因解释。</w:t>
            </w:r>
          </w:p>
        </w:tc>
      </w:tr>
      <w:tr w14:paraId="2CB02AE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11B116F0">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2101" w:type="dxa"/>
            <w:vAlign w:val="center"/>
          </w:tcPr>
          <w:p w14:paraId="752470E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合同签订时间</w:t>
            </w:r>
          </w:p>
        </w:tc>
        <w:tc>
          <w:tcPr>
            <w:tcW w:w="6778" w:type="dxa"/>
            <w:vAlign w:val="center"/>
          </w:tcPr>
          <w:p w14:paraId="66F7750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中标通知书发出后30日内。</w:t>
            </w:r>
          </w:p>
        </w:tc>
      </w:tr>
      <w:tr w14:paraId="0D0FA9E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D592AEF">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101" w:type="dxa"/>
            <w:vAlign w:val="center"/>
          </w:tcPr>
          <w:p w14:paraId="074B88E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778" w:type="dxa"/>
            <w:vAlign w:val="center"/>
          </w:tcPr>
          <w:p w14:paraId="4988616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付款方式：详见合同条款</w:t>
            </w:r>
          </w:p>
        </w:tc>
      </w:tr>
      <w:tr w14:paraId="09383AA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4020224">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2101" w:type="dxa"/>
            <w:vAlign w:val="center"/>
          </w:tcPr>
          <w:p w14:paraId="097535C7">
            <w:pPr>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履约保证金缴纳</w:t>
            </w:r>
          </w:p>
        </w:tc>
        <w:tc>
          <w:tcPr>
            <w:tcW w:w="6778" w:type="dxa"/>
            <w:vAlign w:val="center"/>
          </w:tcPr>
          <w:p w14:paraId="51A6C810">
            <w:pPr>
              <w:tabs>
                <w:tab w:val="left" w:pos="0"/>
              </w:tabs>
              <w:autoSpaceDE w:val="0"/>
              <w:autoSpaceDN w:val="0"/>
              <w:adjustRightInd w:val="0"/>
              <w:spacing w:line="360" w:lineRule="exact"/>
              <w:ind w:firstLine="0" w:firstLineChars="0"/>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w:t>
            </w:r>
          </w:p>
        </w:tc>
      </w:tr>
      <w:tr w14:paraId="339BACF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386870F2">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101" w:type="dxa"/>
            <w:vAlign w:val="center"/>
          </w:tcPr>
          <w:p w14:paraId="01859E7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778" w:type="dxa"/>
            <w:vAlign w:val="center"/>
          </w:tcPr>
          <w:p w14:paraId="78A5B9B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投标截止日后90天内有效，不足该有效期的，其投标视为无效标。</w:t>
            </w:r>
          </w:p>
        </w:tc>
      </w:tr>
      <w:tr w14:paraId="1A0DFC0D">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15F9FB6C">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w:t>
            </w:r>
          </w:p>
        </w:tc>
        <w:tc>
          <w:tcPr>
            <w:tcW w:w="2101" w:type="dxa"/>
            <w:vAlign w:val="center"/>
          </w:tcPr>
          <w:p w14:paraId="0E42263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质疑</w:t>
            </w:r>
          </w:p>
        </w:tc>
        <w:tc>
          <w:tcPr>
            <w:tcW w:w="6778" w:type="dxa"/>
            <w:vAlign w:val="center"/>
          </w:tcPr>
          <w:p w14:paraId="281AE50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照《政府采购法》第五十二条的规定，投标人认为采购文件、采购过程和中标、成交结果使自己的权益受到损害的，可以在知道或者应知其权益受到损害之日起七个工作日内，以书面形式向采购人、采购代理机构提出质疑。</w:t>
            </w:r>
          </w:p>
        </w:tc>
      </w:tr>
      <w:tr w14:paraId="542A83A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733BBF9">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25</w:t>
            </w:r>
          </w:p>
        </w:tc>
        <w:tc>
          <w:tcPr>
            <w:tcW w:w="2101" w:type="dxa"/>
            <w:vAlign w:val="center"/>
          </w:tcPr>
          <w:p w14:paraId="23DF62B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投诉</w:t>
            </w:r>
          </w:p>
        </w:tc>
        <w:tc>
          <w:tcPr>
            <w:tcW w:w="6778" w:type="dxa"/>
            <w:vAlign w:val="center"/>
          </w:tcPr>
          <w:p w14:paraId="382DA8E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照《政府采购法》第五十五条的规定，质疑投标人对采购人、采购代理机构的答复不满意或者采购人、采购代理机构未在规定的时间内作出答复的，可以在答复期满后十五个工作日内向同级政府采购监督管理部门投诉。</w:t>
            </w:r>
          </w:p>
        </w:tc>
      </w:tr>
      <w:tr w14:paraId="382E4A6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A0BAE9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26</w:t>
            </w:r>
          </w:p>
        </w:tc>
        <w:tc>
          <w:tcPr>
            <w:tcW w:w="2101" w:type="dxa"/>
            <w:vAlign w:val="center"/>
          </w:tcPr>
          <w:p w14:paraId="4FE72BC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特别说明</w:t>
            </w:r>
          </w:p>
        </w:tc>
        <w:tc>
          <w:tcPr>
            <w:tcW w:w="6778" w:type="dxa"/>
            <w:vAlign w:val="center"/>
          </w:tcPr>
          <w:p w14:paraId="383CA6C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如果发现本采购文件中存在含糊不清、相互矛盾、多种含义以及歧视性不公正条款或违法违规等内容时，请投标人在获取采购文件后，答疑截止时间前按要求书面提出，逾期视同自动放弃疑问提出的权利或采购人不作答复。</w:t>
            </w:r>
          </w:p>
          <w:p w14:paraId="7FA460A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（2）该项目中标公示期间，投标人不得通过非正当途径、更不得通过非正当手段获取法律法规规定评标委员会（包括其他相关人员）应当保密的相关内容。</w:t>
            </w:r>
          </w:p>
        </w:tc>
      </w:tr>
      <w:tr w14:paraId="4D4F3933">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14:paraId="671DFF80">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27</w:t>
            </w:r>
          </w:p>
        </w:tc>
        <w:tc>
          <w:tcPr>
            <w:tcW w:w="2101" w:type="dxa"/>
            <w:vAlign w:val="center"/>
          </w:tcPr>
          <w:p w14:paraId="677429B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采购代理服务费</w:t>
            </w:r>
          </w:p>
        </w:tc>
        <w:tc>
          <w:tcPr>
            <w:tcW w:w="6778" w:type="dxa"/>
            <w:vAlign w:val="center"/>
          </w:tcPr>
          <w:p w14:paraId="549DC85F">
            <w:pPr>
              <w:tabs>
                <w:tab w:val="left" w:pos="0"/>
              </w:tabs>
              <w:autoSpaceDE w:val="0"/>
              <w:autoSpaceDN w:val="0"/>
              <w:adjustRightInd w:val="0"/>
              <w:spacing w:line="360" w:lineRule="exact"/>
              <w:ind w:firstLine="0" w:firstLineChars="0"/>
              <w:jc w:val="left"/>
              <w:rPr>
                <w:rFonts w:hint="default" w:ascii="宋体" w:hAnsi="宋体" w:eastAsia="宋体" w:cs="宋体"/>
                <w:color w:val="auto"/>
                <w:sz w:val="21"/>
                <w:szCs w:val="21"/>
                <w:highlight w:val="none"/>
                <w:lang w:val="en-US"/>
              </w:rPr>
            </w:pPr>
            <w:r>
              <w:rPr>
                <w:rFonts w:hint="eastAsia" w:ascii="宋体" w:hAnsi="宋体" w:eastAsia="宋体" w:cs="宋体"/>
                <w:b/>
                <w:bCs/>
                <w:color w:val="auto"/>
                <w:sz w:val="21"/>
                <w:szCs w:val="21"/>
                <w:highlight w:val="none"/>
              </w:rPr>
              <w:t>本次采购代理服务费</w:t>
            </w:r>
            <w:r>
              <w:rPr>
                <w:rFonts w:hint="eastAsia" w:ascii="宋体" w:hAnsi="宋体" w:eastAsia="宋体" w:cs="宋体"/>
                <w:b/>
                <w:bCs/>
                <w:color w:val="auto"/>
                <w:sz w:val="21"/>
                <w:szCs w:val="21"/>
                <w:highlight w:val="none"/>
                <w:lang w:val="en-US" w:eastAsia="zh-CN"/>
              </w:rPr>
              <w:t>由采购人支付。</w:t>
            </w:r>
          </w:p>
        </w:tc>
      </w:tr>
      <w:tr w14:paraId="7B1E8F65">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739F95B9">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28</w:t>
            </w:r>
          </w:p>
        </w:tc>
        <w:tc>
          <w:tcPr>
            <w:tcW w:w="2101" w:type="dxa"/>
            <w:vAlign w:val="center"/>
          </w:tcPr>
          <w:p w14:paraId="75BC44F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投标无效情形</w:t>
            </w:r>
          </w:p>
        </w:tc>
        <w:tc>
          <w:tcPr>
            <w:tcW w:w="6778" w:type="dxa"/>
            <w:vAlign w:val="center"/>
          </w:tcPr>
          <w:p w14:paraId="49BF8A6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1.在资格审查时，如发现下列情形之一的，投标文件将被视为无效：</w:t>
            </w:r>
          </w:p>
          <w:p w14:paraId="16682B6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（1）资格</w:t>
            </w:r>
            <w:r>
              <w:rPr>
                <w:rFonts w:hint="eastAsia" w:ascii="宋体" w:hAnsi="宋体" w:eastAsia="宋体" w:cs="宋体"/>
                <w:color w:val="auto"/>
                <w:sz w:val="21"/>
                <w:szCs w:val="21"/>
                <w:highlight w:val="none"/>
                <w:lang w:val="en-US" w:eastAsia="zh-CN"/>
              </w:rPr>
              <w:t>审查</w:t>
            </w:r>
            <w:r>
              <w:rPr>
                <w:rFonts w:hint="eastAsia" w:ascii="宋体" w:hAnsi="宋体" w:eastAsia="宋体" w:cs="宋体"/>
                <w:color w:val="auto"/>
                <w:sz w:val="21"/>
                <w:szCs w:val="21"/>
                <w:highlight w:val="none"/>
              </w:rPr>
              <w:t>材料不全的，或者不符合招标文件要求的；</w:t>
            </w:r>
          </w:p>
          <w:p w14:paraId="179EF13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（2）投标人不具备招标文件中规定的资格要求的；</w:t>
            </w:r>
          </w:p>
          <w:p w14:paraId="21580E4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（3）经查询存在不良信用记录的。</w:t>
            </w:r>
          </w:p>
          <w:p w14:paraId="0DA8C9C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2.在符合性审查、资信和技术评审时，如发现下列情形之一的，投标文件将被视为无效：</w:t>
            </w:r>
          </w:p>
          <w:p w14:paraId="6019EFD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（1）资格文件及资信技术文件未按要求签署、盖章的；</w:t>
            </w:r>
          </w:p>
          <w:p w14:paraId="425F6C0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（2）未提供或未按要求提供投标函、法定代表人资格证明书、法定代表人授权委托书、投标声明书； </w:t>
            </w:r>
          </w:p>
          <w:p w14:paraId="40C2402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（3）未提供或未如实提供采购需求偏离表的；</w:t>
            </w:r>
          </w:p>
          <w:p w14:paraId="74B24EB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（4）对“▲”条款未作实质性响应的；</w:t>
            </w:r>
          </w:p>
          <w:p w14:paraId="6282BC5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（5）未提供或未如实提供服务方案，或者投标文件标明的响应或偏离与事实不符或虚假投标的；</w:t>
            </w:r>
          </w:p>
          <w:p w14:paraId="422A6A0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（6）投标服务方案不明确，存在一个或一个以上备选（替代）投标方案的；</w:t>
            </w:r>
          </w:p>
          <w:p w14:paraId="40A7256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（7）投标文件含有采购人不能接受的附加条件的；</w:t>
            </w:r>
          </w:p>
          <w:p w14:paraId="736BFF9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（8）法律、法规和招标文件规定的其他无效情形。</w:t>
            </w:r>
          </w:p>
          <w:p w14:paraId="34655FA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3.在报价评审时，如发现下列情形之一的，投标文件将被视为无效：</w:t>
            </w:r>
          </w:p>
          <w:p w14:paraId="71A815C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（1）报价文件未按要求签署、盖章的；</w:t>
            </w:r>
          </w:p>
          <w:p w14:paraId="0D72D92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（2）未按照招标文件标明的币种报价的；</w:t>
            </w:r>
          </w:p>
          <w:p w14:paraId="5B3EF8F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（3）报价超过招标文件规定预算金额或者最高限价的；</w:t>
            </w:r>
          </w:p>
          <w:p w14:paraId="173F39C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（4）报价具有选择性的；</w:t>
            </w:r>
          </w:p>
          <w:p w14:paraId="5BB970A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（5）报价明显低于其他通过符合性审查投标人的报价（有可能影响服务质量或者不能诚信履约的），投标人在评标现场合理的时间内无法提供书面说明（必要时提交相关证明材料）证明其报价合理性的。</w:t>
            </w:r>
          </w:p>
          <w:p w14:paraId="62E6C67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4.有下列情形之一的，视为投标人串通投标，其投标无效，由采购人或采购代理机构上报政府采购监督管理部门，视情列入不良行为记录名单，在一至三年内禁止参加政府采购活动：</w:t>
            </w:r>
          </w:p>
          <w:p w14:paraId="0573354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（1）不同投标人的投标文件由同一单位或者个人编制；</w:t>
            </w:r>
          </w:p>
          <w:p w14:paraId="61EC38F6">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（2）不同投标人委托同一单位或者个人办理投标事宜；</w:t>
            </w:r>
          </w:p>
          <w:p w14:paraId="5CE68E8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（3）不同投标人的投标文件载明的项目管理成员或者联系人员为同一人；</w:t>
            </w:r>
          </w:p>
          <w:p w14:paraId="048E615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（4）不同投标人的投标文件异常一致或者投标报价呈规律性差异；</w:t>
            </w:r>
          </w:p>
          <w:p w14:paraId="2C2BA462">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（5）不同投标人的投标文件相互混装。</w:t>
            </w:r>
          </w:p>
        </w:tc>
      </w:tr>
      <w:tr w14:paraId="7DED9B22">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41" w:type="dxa"/>
            <w:vAlign w:val="center"/>
          </w:tcPr>
          <w:p w14:paraId="689CD148">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w:t>
            </w:r>
          </w:p>
        </w:tc>
        <w:tc>
          <w:tcPr>
            <w:tcW w:w="2101" w:type="dxa"/>
            <w:vAlign w:val="center"/>
          </w:tcPr>
          <w:p w14:paraId="707BE98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778" w:type="dxa"/>
            <w:vAlign w:val="center"/>
          </w:tcPr>
          <w:p w14:paraId="185EC05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1、本采购文件共</w:t>
            </w:r>
            <w:r>
              <w:rPr>
                <w:rFonts w:hint="eastAsia" w:ascii="宋体" w:hAnsi="宋体" w:eastAsia="宋体" w:cs="宋体"/>
                <w:color w:val="auto"/>
                <w:sz w:val="21"/>
                <w:szCs w:val="21"/>
                <w:highlight w:val="none"/>
                <w:lang w:val="en-US" w:eastAsia="zh-CN"/>
              </w:rPr>
              <w:t xml:space="preserve"> 55 </w:t>
            </w:r>
            <w:r>
              <w:rPr>
                <w:rFonts w:hint="eastAsia" w:ascii="宋体" w:hAnsi="宋体" w:eastAsia="宋体" w:cs="宋体"/>
                <w:color w:val="auto"/>
                <w:sz w:val="21"/>
                <w:szCs w:val="21"/>
                <w:highlight w:val="none"/>
              </w:rPr>
              <w:t>页 （含封面）请各投标人收到本文件后自行核对，如有缺页、错装等情况请于当日向采购代理机构提出，如未提出，所有责任及由此造成的后果由投标人自负。</w:t>
            </w:r>
          </w:p>
          <w:p w14:paraId="513AFE42">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2、请投标人仔细阅读本采购文件，其中带“▲”标记的条款为实质性内容，投标人须对带“▲”标记的条款作出实质性响应。</w:t>
            </w:r>
          </w:p>
          <w:p w14:paraId="12DDE1B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3、根据《关于在政府采购活动中查询及使用信用记录有关问题的通知》财库[2016]125号的规定：</w:t>
            </w:r>
          </w:p>
          <w:p w14:paraId="761D0C28">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1）采购人或采购代理机构将对本项目投标人的信用信息进行查询。</w:t>
            </w:r>
          </w:p>
          <w:p w14:paraId="5A73E4B3">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2）查询渠道为信用中国网站（www.creditchina.gov.cn）、中国政府采购网（www.ccgp.gov.cn）。</w:t>
            </w:r>
          </w:p>
          <w:p w14:paraId="25BC977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3）信用信息截止时点为从本项目投标截止日往前追溯三年，期间被列入失信被执行人名单、重大税收违法案件当事人名单、政府采购严重违法失信行为记录名单等投标人信用信息均将用于本项目。</w:t>
            </w:r>
          </w:p>
          <w:p w14:paraId="60DC0FB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4）信用信息查询记录和证据以网页截图等方式留存。</w:t>
            </w:r>
          </w:p>
          <w:p w14:paraId="669307B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5）信用信息将作为评审和确定成交投标人的依据。</w:t>
            </w:r>
          </w:p>
          <w:p w14:paraId="573C2168">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6）联合体成员存在不良信用记录的，视同联合体存在不良信用记录。</w:t>
            </w:r>
          </w:p>
          <w:p w14:paraId="5F42447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4、扶持中小企业（监狱企业、残疾人福利性单位）： </w:t>
            </w:r>
          </w:p>
          <w:p w14:paraId="02A638FF">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4.1、企业类型</w:t>
            </w:r>
          </w:p>
          <w:p w14:paraId="214EE807">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（1）中小企业</w:t>
            </w:r>
          </w:p>
          <w:p w14:paraId="4B2EEC7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中小企业是指在中华人民共和国境内依法设立，依据国务院批准的中小企业划分标准确定的中型企业、小型企业和微型企业，但与大企业的负责人为同一人，或者与大企业存在直接控股、管理关系的除外。</w:t>
            </w:r>
          </w:p>
          <w:p w14:paraId="25275E9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符合中小企业划分标准的个体工商户，在政府采购活动中视同中小企业。</w:t>
            </w:r>
          </w:p>
          <w:p w14:paraId="4EBDFFD5">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在服务采购项目中，服务由中小企业承接，即提供服务的人员为中小企业依照《民法典》订立劳动合同的从业人员。可享受相关中小企业扶持政策。</w:t>
            </w:r>
          </w:p>
          <w:p w14:paraId="4456C60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以联合体形式参加政府采购活动，联合体各方均为中小企业的，联合体视同中小企业。其中，联合体各方均为小微企业的，联合体视同小微企业。</w:t>
            </w:r>
          </w:p>
          <w:p w14:paraId="62873231">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投标文件中须同时出具《政府采购促进中小企业发展管理办法》【财库（2020）46号】规定的《中小企业声明函》，否则不得享受价格扣除。</w:t>
            </w:r>
          </w:p>
          <w:p w14:paraId="2F76823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（2）残疾人福利性单位</w:t>
            </w:r>
          </w:p>
          <w:p w14:paraId="63422174">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符合《关于促进残疾人就业政府采购政策的通知》（财库〔2017〕141号）规定的条件并提供提供《残疾人福利性单位声明函》的残疾人福利性单位视同小型、微型企业；</w:t>
            </w:r>
          </w:p>
          <w:p w14:paraId="4C8EC33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（3）监狱企业</w:t>
            </w:r>
          </w:p>
          <w:p w14:paraId="3B059D29">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关于政府采购支持监狱企业发展有关问题的通知》（财库[2014]68号）的规定，投标人提供由省级以上监狱管理局、戒毒管理局（含新疆生产建设兵团）出具的属于监狱企业证明文件的，视同为小型和微型企业。</w:t>
            </w:r>
          </w:p>
          <w:p w14:paraId="6E89C81B">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4.3、针对本项目的相关规定</w:t>
            </w:r>
          </w:p>
          <w:p w14:paraId="4475B67B">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（1）《浙江省财政厅关于进一步发挥政府采购政策功能全力推动经济稳进提质的通知》 （浙财采监（2022）3号）、《浙江省财政厅关于进一步促进政府采购公平竞争打造最优营商环境的通知》（浙财采监（2021）22号）已分别于2022年1月29日和2022年2月1日开始实施，此前有关规定与上述文件内容不一致的，按上述文件要求执行</w:t>
            </w:r>
          </w:p>
          <w:p w14:paraId="77A354F4">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（2）本项目对符合规定的小微企业（含小型企业）报价给予</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0%的扣除。</w:t>
            </w:r>
          </w:p>
          <w:p w14:paraId="6052A0B4">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）本项目对应的中小企业计划分标准所属行业为：</w:t>
            </w:r>
            <w:r>
              <w:rPr>
                <w:rFonts w:hint="eastAsia" w:ascii="宋体" w:hAnsi="宋体" w:eastAsia="宋体" w:cs="宋体"/>
                <w:b/>
                <w:bCs/>
                <w:color w:val="auto"/>
                <w:sz w:val="21"/>
                <w:szCs w:val="21"/>
                <w:highlight w:val="none"/>
                <w:lang w:eastAsia="zh-CN"/>
              </w:rPr>
              <w:t>租赁和商务服务业</w:t>
            </w:r>
            <w:r>
              <w:rPr>
                <w:rFonts w:hint="eastAsia" w:ascii="宋体" w:hAnsi="宋体" w:eastAsia="宋体" w:cs="宋体"/>
                <w:color w:val="auto"/>
                <w:sz w:val="21"/>
                <w:szCs w:val="21"/>
                <w:highlight w:val="none"/>
              </w:rPr>
              <w:t>。</w:t>
            </w:r>
          </w:p>
          <w:p w14:paraId="4C08C8F0">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）本项目对小微企业的划分标准：</w:t>
            </w:r>
            <w:r>
              <w:rPr>
                <w:rFonts w:hint="eastAsia" w:ascii="宋体" w:hAnsi="宋体" w:eastAsia="宋体" w:cs="宋体"/>
                <w:color w:val="auto"/>
                <w:sz w:val="21"/>
                <w:szCs w:val="21"/>
                <w:highlight w:val="none"/>
                <w:lang w:val="en-US" w:eastAsia="zh-CN"/>
              </w:rPr>
              <w:t>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tc>
      </w:tr>
      <w:tr w14:paraId="5CBE2268">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3871711B">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w:t>
            </w:r>
          </w:p>
        </w:tc>
        <w:tc>
          <w:tcPr>
            <w:tcW w:w="2101" w:type="dxa"/>
            <w:vAlign w:val="center"/>
          </w:tcPr>
          <w:p w14:paraId="0C9B8FBA">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信息网址</w:t>
            </w:r>
          </w:p>
        </w:tc>
        <w:tc>
          <w:tcPr>
            <w:tcW w:w="6778" w:type="dxa"/>
            <w:vAlign w:val="center"/>
          </w:tcPr>
          <w:p w14:paraId="37525B8D">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龙游县水务集团有限公司网站（http://www.lyswjt.com）</w:t>
            </w:r>
          </w:p>
        </w:tc>
      </w:tr>
      <w:tr w14:paraId="28A08CDB">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2705B5CE">
            <w:pPr>
              <w:tabs>
                <w:tab w:val="left" w:pos="0"/>
              </w:tabs>
              <w:autoSpaceDE w:val="0"/>
              <w:autoSpaceDN w:val="0"/>
              <w:adjustRightInd w:val="0"/>
              <w:spacing w:line="360" w:lineRule="exact"/>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101" w:type="dxa"/>
            <w:vAlign w:val="center"/>
          </w:tcPr>
          <w:p w14:paraId="1D8B305C">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解释权</w:t>
            </w:r>
          </w:p>
        </w:tc>
        <w:tc>
          <w:tcPr>
            <w:tcW w:w="6778" w:type="dxa"/>
            <w:vAlign w:val="center"/>
          </w:tcPr>
          <w:p w14:paraId="39C67B8E">
            <w:pPr>
              <w:tabs>
                <w:tab w:val="left" w:pos="0"/>
              </w:tabs>
              <w:autoSpaceDE w:val="0"/>
              <w:autoSpaceDN w:val="0"/>
              <w:adjustRightInd w:val="0"/>
              <w:spacing w:line="360" w:lineRule="exact"/>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本文件的解释权属于采购人</w:t>
            </w:r>
          </w:p>
        </w:tc>
      </w:tr>
      <w:tr w14:paraId="4CE4A6BE">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41" w:type="dxa"/>
            <w:vAlign w:val="center"/>
          </w:tcPr>
          <w:p w14:paraId="6F52FD25">
            <w:pPr>
              <w:tabs>
                <w:tab w:val="left" w:pos="0"/>
              </w:tabs>
              <w:autoSpaceDE w:val="0"/>
              <w:autoSpaceDN w:val="0"/>
              <w:adjustRightInd w:val="0"/>
              <w:spacing w:line="360" w:lineRule="exact"/>
              <w:ind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32</w:t>
            </w:r>
          </w:p>
        </w:tc>
        <w:tc>
          <w:tcPr>
            <w:tcW w:w="2101" w:type="dxa"/>
            <w:vAlign w:val="center"/>
          </w:tcPr>
          <w:p w14:paraId="390F7622">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项目属性与核心产品</w:t>
            </w:r>
          </w:p>
        </w:tc>
        <w:tc>
          <w:tcPr>
            <w:tcW w:w="6778" w:type="dxa"/>
            <w:vAlign w:val="center"/>
          </w:tcPr>
          <w:p w14:paraId="12B65320">
            <w:pPr>
              <w:tabs>
                <w:tab w:val="left" w:pos="0"/>
              </w:tabs>
              <w:autoSpaceDE w:val="0"/>
              <w:autoSpaceDN w:val="0"/>
              <w:adjustRightInd w:val="0"/>
              <w:spacing w:line="360" w:lineRule="exact"/>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服务类</w:t>
            </w:r>
          </w:p>
        </w:tc>
      </w:tr>
      <w:bookmarkEnd w:id="15"/>
      <w:bookmarkEnd w:id="16"/>
      <w:bookmarkEnd w:id="17"/>
      <w:bookmarkEnd w:id="18"/>
      <w:bookmarkEnd w:id="27"/>
      <w:bookmarkEnd w:id="28"/>
      <w:bookmarkEnd w:id="29"/>
      <w:bookmarkEnd w:id="30"/>
      <w:bookmarkEnd w:id="31"/>
      <w:bookmarkEnd w:id="32"/>
      <w:bookmarkEnd w:id="33"/>
      <w:bookmarkEnd w:id="34"/>
      <w:bookmarkEnd w:id="51"/>
      <w:bookmarkEnd w:id="52"/>
      <w:bookmarkEnd w:id="53"/>
      <w:bookmarkEnd w:id="54"/>
      <w:bookmarkEnd w:id="55"/>
      <w:bookmarkEnd w:id="56"/>
      <w:bookmarkEnd w:id="57"/>
      <w:bookmarkEnd w:id="58"/>
      <w:bookmarkEnd w:id="59"/>
      <w:bookmarkEnd w:id="60"/>
      <w:bookmarkEnd w:id="61"/>
      <w:bookmarkEnd w:id="62"/>
      <w:bookmarkEnd w:id="63"/>
      <w:bookmarkEnd w:id="64"/>
    </w:tbl>
    <w:p w14:paraId="31861D28">
      <w:pPr>
        <w:pStyle w:val="4"/>
        <w:spacing w:before="167" w:after="167"/>
        <w:ind w:firstLine="482"/>
        <w:jc w:val="center"/>
        <w:rPr>
          <w:rFonts w:ascii="宋体" w:hAnsi="宋体" w:eastAsia="宋体" w:cs="宋体"/>
          <w:color w:val="auto"/>
          <w:kern w:val="2"/>
          <w:sz w:val="24"/>
          <w:szCs w:val="24"/>
          <w:highlight w:val="none"/>
          <w:lang w:val="en-US"/>
        </w:rPr>
      </w:pPr>
      <w:bookmarkStart w:id="65" w:name="_Toc82338239"/>
      <w:bookmarkStart w:id="66" w:name="_Toc82873322"/>
      <w:bookmarkStart w:id="67" w:name="_Toc515876920"/>
      <w:bookmarkStart w:id="68" w:name="_Toc18477"/>
      <w:r>
        <w:rPr>
          <w:rFonts w:hint="eastAsia" w:ascii="宋体" w:hAnsi="宋体" w:eastAsia="宋体" w:cs="宋体"/>
          <w:color w:val="auto"/>
          <w:kern w:val="2"/>
          <w:sz w:val="24"/>
          <w:szCs w:val="24"/>
          <w:highlight w:val="none"/>
          <w:lang w:val="en-US"/>
        </w:rPr>
        <w:t>二、</w:t>
      </w:r>
      <w:bookmarkEnd w:id="65"/>
      <w:bookmarkEnd w:id="66"/>
      <w:r>
        <w:rPr>
          <w:rFonts w:hint="eastAsia" w:ascii="宋体" w:hAnsi="宋体" w:eastAsia="宋体" w:cs="宋体"/>
          <w:color w:val="auto"/>
          <w:kern w:val="2"/>
          <w:sz w:val="24"/>
          <w:szCs w:val="24"/>
          <w:highlight w:val="none"/>
          <w:lang w:val="en-US"/>
        </w:rPr>
        <w:t>总则</w:t>
      </w:r>
      <w:bookmarkEnd w:id="67"/>
      <w:bookmarkEnd w:id="68"/>
    </w:p>
    <w:p w14:paraId="7EDDD78E">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根据《龙游县国有企业采购管理办法》（龙政办发[2021]58号）及有关法律、法规规定，编制本招标文件。</w:t>
      </w:r>
    </w:p>
    <w:p w14:paraId="12EF0CC2">
      <w:pPr>
        <w:numPr>
          <w:ilvl w:val="1"/>
          <w:numId w:val="3"/>
        </w:num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适用范围</w:t>
      </w:r>
    </w:p>
    <w:p w14:paraId="4CB27016">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本招标文件仅适用于本次招标采购项目的招标、投标、评标、定标、验收、合同履约、付款等行为。</w:t>
      </w:r>
    </w:p>
    <w:p w14:paraId="36A32367">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定义</w:t>
      </w:r>
    </w:p>
    <w:p w14:paraId="23D14D4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2.1“采购人”系指是指依法进行政府采购的国家机关、事业单位、团体组织，见“投标人须知前附表”；</w:t>
      </w:r>
    </w:p>
    <w:p w14:paraId="058526ED">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2.2“投标人”是指参加本政府采购项目投标的供应商；</w:t>
      </w:r>
    </w:p>
    <w:p w14:paraId="31182AAB">
      <w:pPr>
        <w:spacing w:line="360" w:lineRule="auto"/>
        <w:ind w:firstLine="480"/>
        <w:rPr>
          <w:color w:val="auto"/>
          <w:sz w:val="21"/>
          <w:szCs w:val="21"/>
          <w:highlight w:val="none"/>
        </w:rPr>
      </w:pPr>
      <w:r>
        <w:rPr>
          <w:rFonts w:hint="eastAsia" w:ascii="宋体" w:hAnsi="宋体" w:eastAsia="宋体" w:cs="宋体"/>
          <w:color w:val="auto"/>
          <w:sz w:val="21"/>
          <w:szCs w:val="21"/>
          <w:highlight w:val="none"/>
        </w:rPr>
        <w:t>2.3投标人代表：是指参加本项目投标活动的投标人法定代表人或法定代表人授权代表；</w:t>
      </w:r>
    </w:p>
    <w:p w14:paraId="2AFA717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2.4甲方：是指合同签订的一方，一般与采购人、用户相同；</w:t>
      </w:r>
    </w:p>
    <w:p w14:paraId="540315D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2.5乙方：是指合同签订的另一方，与中标人相同；</w:t>
      </w:r>
    </w:p>
    <w:p w14:paraId="2C838D4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2.6“招标组织人”系指“泰宇建筑工程技术咨询有限公司”</w:t>
      </w:r>
    </w:p>
    <w:p w14:paraId="4A0630C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2.7“产品”系指投标人按采购文件规定，须向采购人提供的一切货物、保险、税金、备品备件、工具、手册及其它有关技术资料和材料。</w:t>
      </w:r>
    </w:p>
    <w:p w14:paraId="7FFFB6E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2.8“服务” 系指采购文件或合同规定投标人须承担的本项目服务以及其他项目采购需求规定的服务。</w:t>
      </w:r>
    </w:p>
    <w:p w14:paraId="3C27BDA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2.9“书面形式”包括纸质文件、电子邮件、信函、传真等</w:t>
      </w:r>
    </w:p>
    <w:p w14:paraId="38D3C89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2.10实质性响应：是指投标文件相关内容符合招标（采购）文件规定的实质性内容、条款和规定。</w:t>
      </w:r>
    </w:p>
    <w:p w14:paraId="26B2CAE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2.11采购文件中所有标示“▲”的均为采购人提出的实质性条款，如未实质性响应的，将按无效投标处理。</w:t>
      </w:r>
    </w:p>
    <w:p w14:paraId="79AB0C6A">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投标费用</w:t>
      </w:r>
    </w:p>
    <w:p w14:paraId="6FE691B0">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不论投标结果如何，投标人均应自行承担所有与投标有关的全部费用。</w:t>
      </w:r>
    </w:p>
    <w:p w14:paraId="586344D5">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p w14:paraId="27E285C1">
      <w:pPr>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本次招标采用公开招标方式进行。</w:t>
      </w:r>
    </w:p>
    <w:p w14:paraId="092D3F1C">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投标委托</w:t>
      </w:r>
    </w:p>
    <w:p w14:paraId="177D1DFC">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投标人代表须携带有效身份证件。如投标人代表不是法定代表人，须有法定代表人出具的授权委托书（正本用原件，副本用复印件，格式见第五章）。</w:t>
      </w:r>
    </w:p>
    <w:p w14:paraId="44E57690">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p w14:paraId="6A6D698B">
      <w:pPr>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本项目不接受联合体投标。</w:t>
      </w:r>
    </w:p>
    <w:p w14:paraId="20E55ABF">
      <w:pPr>
        <w:numPr>
          <w:ilvl w:val="1"/>
          <w:numId w:val="3"/>
        </w:numPr>
        <w:snapToGrid w:val="0"/>
        <w:spacing w:line="360" w:lineRule="auto"/>
        <w:ind w:firstLine="48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转包与分包</w:t>
      </w:r>
    </w:p>
    <w:p w14:paraId="3D9FFC60">
      <w:pPr>
        <w:snapToGrid w:val="0"/>
        <w:spacing w:line="360" w:lineRule="auto"/>
        <w:ind w:firstLine="480"/>
        <w:rPr>
          <w:rFonts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本项目不允许转包。分包须经采购人书面同意后方可实施。</w:t>
      </w:r>
    </w:p>
    <w:p w14:paraId="652DC68D">
      <w:pPr>
        <w:numPr>
          <w:ilvl w:val="1"/>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特别说明：</w:t>
      </w:r>
    </w:p>
    <w:p w14:paraId="625B64CD">
      <w:pPr>
        <w:numPr>
          <w:ilvl w:val="2"/>
          <w:numId w:val="3"/>
        </w:numPr>
        <w:snapToGrid w:val="0"/>
        <w:spacing w:line="360" w:lineRule="auto"/>
        <w:ind w:firstLine="480"/>
        <w:rPr>
          <w:rFonts w:ascii="宋体" w:hAnsi="宋体" w:eastAsia="宋体" w:cs="宋体"/>
          <w:color w:val="auto"/>
          <w:sz w:val="21"/>
          <w:szCs w:val="21"/>
          <w:highlight w:val="none"/>
        </w:rPr>
      </w:pPr>
      <w:bookmarkStart w:id="69" w:name="_Toc356371434"/>
      <w:bookmarkStart w:id="70" w:name="_Toc359856799"/>
      <w:bookmarkStart w:id="71" w:name="_Toc3069"/>
      <w:r>
        <w:rPr>
          <w:rFonts w:hint="eastAsia" w:ascii="宋体" w:hAnsi="宋体" w:eastAsia="宋体" w:cs="宋体"/>
          <w:color w:val="auto"/>
          <w:sz w:val="21"/>
          <w:szCs w:val="21"/>
          <w:highlight w:val="none"/>
        </w:rPr>
        <w:t>▲投标人投标所使用的资格、信誉、荣誉、业绩与企业认证必须为本法人所拥有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采购文件另有规定的除外</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14:paraId="5CEFDF3D">
      <w:pPr>
        <w:numPr>
          <w:ilvl w:val="2"/>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p w14:paraId="25C96B03">
      <w:pPr>
        <w:numPr>
          <w:ilvl w:val="2"/>
          <w:numId w:val="3"/>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财政部令第87号《政府采购货物和服务招标投标管理办法》第三十一条规定：使用综合评分法的采购项目，提供相同品牌产品且通过资格审查、符合性审查的不同投标人参加同一合同项下投标的，按一家投标人计算，评审后得分最高的同品牌供应商获得中标候选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0136D73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非单一产品采购项目，采购人应当根据采购项目技术构成、产品价格比重等合理确定核心产品，并在招标文件中载明。多家投标人提供的核心产品品牌相同的，按前款规定处理。</w:t>
      </w:r>
    </w:p>
    <w:p w14:paraId="39B0CD4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8.4▲投标人应仔细阅读招标文件的所有内容，按照招标文件的要求提交投标文件，并对所提供的全部资料的真实性承担法律责任。</w:t>
      </w:r>
    </w:p>
    <w:p w14:paraId="0D8B84F7">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8.5▲投标人在投标活动中提供任何虚假材料,其投标无效，并报监管部门查处。</w:t>
      </w:r>
    </w:p>
    <w:p w14:paraId="05D4615D">
      <w:p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8.6▲中标后发现的,中标人须依照《中华人民共和国消费者权益保护法》第49条之规定双倍赔偿采购人，且民事赔偿并不免除违法投标人的行政与刑事责任。</w:t>
      </w:r>
    </w:p>
    <w:p w14:paraId="0B0EC270">
      <w:pPr>
        <w:pStyle w:val="4"/>
        <w:spacing w:before="167" w:after="167" w:line="360" w:lineRule="auto"/>
        <w:ind w:firstLine="0" w:firstLineChars="0"/>
        <w:jc w:val="center"/>
        <w:rPr>
          <w:rFonts w:ascii="宋体" w:hAnsi="宋体" w:eastAsia="宋体" w:cs="宋体"/>
          <w:color w:val="auto"/>
          <w:sz w:val="24"/>
          <w:szCs w:val="24"/>
          <w:highlight w:val="none"/>
        </w:rPr>
      </w:pPr>
      <w:bookmarkStart w:id="72" w:name="_Toc20180"/>
      <w:bookmarkStart w:id="73" w:name="_Toc13322"/>
      <w:bookmarkStart w:id="74" w:name="_Toc24882"/>
      <w:bookmarkStart w:id="75" w:name="_Toc11684"/>
      <w:bookmarkStart w:id="76" w:name="_Toc24640"/>
      <w:bookmarkStart w:id="77" w:name="_Toc32535"/>
      <w:r>
        <w:rPr>
          <w:rFonts w:hint="eastAsia" w:ascii="宋体" w:hAnsi="宋体" w:eastAsia="宋体" w:cs="宋体"/>
          <w:color w:val="auto"/>
          <w:sz w:val="24"/>
          <w:szCs w:val="24"/>
          <w:highlight w:val="none"/>
        </w:rPr>
        <w:t>三、招标文件说明</w:t>
      </w:r>
      <w:bookmarkEnd w:id="69"/>
      <w:bookmarkEnd w:id="70"/>
      <w:bookmarkEnd w:id="71"/>
      <w:bookmarkEnd w:id="72"/>
      <w:bookmarkEnd w:id="73"/>
      <w:bookmarkEnd w:id="74"/>
      <w:bookmarkEnd w:id="75"/>
      <w:bookmarkEnd w:id="76"/>
      <w:bookmarkEnd w:id="77"/>
    </w:p>
    <w:p w14:paraId="3254EBEE">
      <w:pPr>
        <w:numPr>
          <w:ilvl w:val="1"/>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招标文件的组成</w:t>
      </w:r>
    </w:p>
    <w:p w14:paraId="54D983F4">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招标公告；</w:t>
      </w:r>
    </w:p>
    <w:p w14:paraId="54540011">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投标须知前附表及投标须知；</w:t>
      </w:r>
    </w:p>
    <w:p w14:paraId="352909CF">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采购内容及要求；</w:t>
      </w:r>
    </w:p>
    <w:p w14:paraId="7BC2B61B">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合同主要条款；</w:t>
      </w:r>
    </w:p>
    <w:p w14:paraId="1A914EB5">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应提交的有关格式范例；</w:t>
      </w:r>
    </w:p>
    <w:p w14:paraId="2FB62E29">
      <w:pPr>
        <w:numPr>
          <w:ilvl w:val="2"/>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评标办法及开评标程序。</w:t>
      </w:r>
    </w:p>
    <w:p w14:paraId="14149765">
      <w:pPr>
        <w:numPr>
          <w:ilvl w:val="1"/>
          <w:numId w:val="4"/>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招标文件的澄清及修改</w:t>
      </w:r>
    </w:p>
    <w:p w14:paraId="11B467E8">
      <w:pPr>
        <w:tabs>
          <w:tab w:val="left" w:pos="525"/>
        </w:tabs>
        <w:spacing w:line="360" w:lineRule="auto"/>
        <w:ind w:firstLine="480"/>
        <w:jc w:val="left"/>
        <w:rPr>
          <w:rFonts w:ascii="宋体" w:hAnsi="宋体" w:eastAsia="宋体" w:cs="宋体"/>
          <w:color w:val="auto"/>
          <w:sz w:val="21"/>
          <w:szCs w:val="21"/>
          <w:highlight w:val="none"/>
        </w:rPr>
      </w:pPr>
      <w:bookmarkStart w:id="78" w:name="_Toc356371435"/>
      <w:bookmarkStart w:id="79" w:name="_Toc359856800"/>
      <w:r>
        <w:rPr>
          <w:rFonts w:hint="eastAsia" w:ascii="宋体" w:hAnsi="宋体" w:eastAsia="宋体" w:cs="宋体"/>
          <w:color w:val="auto"/>
          <w:sz w:val="21"/>
          <w:szCs w:val="21"/>
          <w:highlight w:val="none"/>
        </w:rPr>
        <w:t>10.1任何要求对招标文件进行澄清的投标人，均应按招标公告中规定的时间和通讯地址，以书面形式（如信件、传真等）送达招标组织人，在规定时间内未收到质疑则视为各投标人均对此无异议。招标组织人对规定时间前收到的任何质疑将在龙游县水务集团有限公司网站公布澄清，投标人自行到网上查看。无论是采购人根据需要主动对招标文件进行必要的修改或是根据投标人的要求对招标文件做出答复（答复中不包括问题的来源），并视为本招标文件的组成部分。</w:t>
      </w:r>
    </w:p>
    <w:p w14:paraId="260615E8">
      <w:pPr>
        <w:tabs>
          <w:tab w:val="left" w:pos="525"/>
        </w:tabs>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10.2因其他紧急情况影响本项目正常招标活动的，招标组织人将于投标截止日期5天前书面通知所有已报名的投标人。</w:t>
      </w:r>
    </w:p>
    <w:p w14:paraId="7AADCE08">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10.3不论采购人向投标人发送的资料文件，还是投标人提出的问题，均通过龙游县水务集团有限公司网站发布，任何口头提问及答复一律无效。</w:t>
      </w:r>
    </w:p>
    <w:p w14:paraId="504D23FE">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10.4当招标文件、澄清（答疑）纪要内容相互矛盾时，以最后发出的通知（或纪要）或修改文件为准。</w:t>
      </w:r>
    </w:p>
    <w:p w14:paraId="30A4DE1C">
      <w:pPr>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10.5若有必要，采购人将酌情延长递交投标文件的截止日期。</w:t>
      </w:r>
    </w:p>
    <w:p w14:paraId="2644D18A">
      <w:pPr>
        <w:pStyle w:val="4"/>
        <w:spacing w:before="167" w:after="167" w:line="360" w:lineRule="auto"/>
        <w:ind w:firstLine="0" w:firstLineChars="0"/>
        <w:jc w:val="center"/>
        <w:rPr>
          <w:rFonts w:ascii="宋体" w:hAnsi="宋体" w:eastAsia="宋体" w:cs="宋体"/>
          <w:color w:val="auto"/>
          <w:sz w:val="24"/>
          <w:szCs w:val="24"/>
          <w:highlight w:val="none"/>
        </w:rPr>
      </w:pPr>
      <w:bookmarkStart w:id="80" w:name="_Toc21596"/>
      <w:bookmarkStart w:id="81" w:name="_Toc4253"/>
      <w:bookmarkStart w:id="82" w:name="_Toc29136"/>
      <w:bookmarkStart w:id="83" w:name="_Toc20774"/>
      <w:bookmarkStart w:id="84" w:name="_Toc28075"/>
      <w:bookmarkStart w:id="85" w:name="_Toc20346"/>
      <w:bookmarkStart w:id="86" w:name="_Toc27341"/>
      <w:r>
        <w:rPr>
          <w:rFonts w:hint="eastAsia" w:ascii="宋体" w:hAnsi="宋体" w:eastAsia="宋体" w:cs="宋体"/>
          <w:color w:val="auto"/>
          <w:sz w:val="24"/>
          <w:szCs w:val="24"/>
          <w:highlight w:val="none"/>
        </w:rPr>
        <w:t>四、投标文件的编制</w:t>
      </w:r>
      <w:bookmarkEnd w:id="78"/>
      <w:bookmarkEnd w:id="79"/>
      <w:bookmarkEnd w:id="80"/>
      <w:bookmarkEnd w:id="81"/>
      <w:bookmarkEnd w:id="82"/>
      <w:bookmarkEnd w:id="83"/>
      <w:bookmarkEnd w:id="84"/>
      <w:bookmarkEnd w:id="85"/>
      <w:bookmarkEnd w:id="86"/>
    </w:p>
    <w:p w14:paraId="16356838">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总体要求</w:t>
      </w:r>
    </w:p>
    <w:p w14:paraId="41A0F46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供应商应仔细阅读招标文件的所有内容，按本文件的要求提供投标文件，并保证所提供的全部资料的真实性，以使其投标文件对招标文件作出实质性响应，</w:t>
      </w:r>
      <w:r>
        <w:rPr>
          <w:rFonts w:hint="eastAsia" w:ascii="宋体" w:hAnsi="宋体" w:eastAsia="宋体" w:cs="宋体"/>
          <w:color w:val="auto"/>
          <w:kern w:val="0"/>
          <w:sz w:val="21"/>
          <w:szCs w:val="21"/>
          <w:highlight w:val="none"/>
        </w:rPr>
        <w:t>否则，投标文件可能视为无效投标文件</w:t>
      </w:r>
      <w:r>
        <w:rPr>
          <w:rFonts w:hint="eastAsia" w:ascii="宋体" w:hAnsi="宋体" w:eastAsia="宋体" w:cs="宋体"/>
          <w:color w:val="auto"/>
          <w:sz w:val="21"/>
          <w:szCs w:val="21"/>
          <w:highlight w:val="none"/>
        </w:rPr>
        <w:t>。</w:t>
      </w:r>
    </w:p>
    <w:p w14:paraId="0BCC66D6">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投标文件及供应商与采购有关的来往通知，函件和文件均应使用中文。</w:t>
      </w:r>
    </w:p>
    <w:p w14:paraId="209CF2B1">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供应商应按本文件中提供的文件格式、内容和要求制作投标文件。投标文件建议采用胶装装订成册。</w:t>
      </w:r>
    </w:p>
    <w:p w14:paraId="7192E5A4">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投标文件的组成及份数</w:t>
      </w:r>
    </w:p>
    <w:p w14:paraId="07D19DA0">
      <w:pPr>
        <w:tabs>
          <w:tab w:val="left" w:pos="0"/>
          <w:tab w:val="left" w:pos="900"/>
          <w:tab w:val="left" w:pos="7020"/>
          <w:tab w:val="left" w:pos="8460"/>
        </w:tabs>
        <w:snapToGrid w:val="0"/>
        <w:spacing w:line="360" w:lineRule="auto"/>
        <w:ind w:firstLine="482"/>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▲投标文件由资格</w:t>
      </w:r>
      <w:r>
        <w:rPr>
          <w:rFonts w:hint="eastAsia" w:ascii="宋体" w:hAnsi="宋体" w:eastAsia="宋体" w:cs="宋体"/>
          <w:b/>
          <w:bCs/>
          <w:color w:val="auto"/>
          <w:sz w:val="21"/>
          <w:szCs w:val="21"/>
          <w:highlight w:val="none"/>
          <w:lang w:val="en-US" w:eastAsia="zh-CN"/>
        </w:rPr>
        <w:t>审查</w:t>
      </w:r>
      <w:r>
        <w:rPr>
          <w:rFonts w:hint="eastAsia" w:ascii="宋体" w:hAnsi="宋体" w:eastAsia="宋体" w:cs="宋体"/>
          <w:b/>
          <w:bCs/>
          <w:color w:val="auto"/>
          <w:sz w:val="21"/>
          <w:szCs w:val="21"/>
          <w:highlight w:val="none"/>
        </w:rPr>
        <w:t>文件、资信文件和报价文件三部分组成</w:t>
      </w:r>
    </w:p>
    <w:p w14:paraId="2684EA5F">
      <w:pPr>
        <w:pStyle w:val="57"/>
        <w:spacing w:beforeLines="0" w:after="167" w:line="360" w:lineRule="auto"/>
        <w:ind w:firstLine="482"/>
        <w:rPr>
          <w:rFonts w:ascii="宋体" w:hAnsi="宋体" w:eastAsia="宋体" w:cs="宋体"/>
          <w:color w:val="auto"/>
          <w:kern w:val="2"/>
          <w:sz w:val="21"/>
          <w:szCs w:val="21"/>
          <w:highlight w:val="none"/>
          <w:lang w:val="en-US"/>
        </w:rPr>
      </w:pPr>
      <w:bookmarkStart w:id="87" w:name="_Toc1313"/>
      <w:bookmarkStart w:id="88" w:name="_Toc12840"/>
      <w:r>
        <w:rPr>
          <w:rFonts w:hint="eastAsia" w:ascii="宋体" w:hAnsi="宋体" w:eastAsia="宋体" w:cs="宋体"/>
          <w:color w:val="auto"/>
          <w:kern w:val="2"/>
          <w:sz w:val="21"/>
          <w:szCs w:val="21"/>
          <w:highlight w:val="none"/>
          <w:lang w:val="en-US"/>
        </w:rPr>
        <w:t>12.1资格</w:t>
      </w:r>
      <w:r>
        <w:rPr>
          <w:rFonts w:hint="eastAsia" w:ascii="宋体" w:hAnsi="宋体" w:eastAsia="宋体" w:cs="宋体"/>
          <w:color w:val="auto"/>
          <w:kern w:val="2"/>
          <w:sz w:val="21"/>
          <w:szCs w:val="21"/>
          <w:highlight w:val="none"/>
          <w:lang w:val="en-US" w:eastAsia="zh-CN"/>
        </w:rPr>
        <w:t>审查</w:t>
      </w:r>
      <w:r>
        <w:rPr>
          <w:rFonts w:hint="eastAsia" w:ascii="宋体" w:hAnsi="宋体" w:eastAsia="宋体" w:cs="宋体"/>
          <w:color w:val="auto"/>
          <w:kern w:val="2"/>
          <w:sz w:val="21"/>
          <w:szCs w:val="21"/>
          <w:highlight w:val="none"/>
          <w:lang w:val="en-US"/>
        </w:rPr>
        <w:t>文件</w:t>
      </w:r>
      <w:bookmarkEnd w:id="87"/>
      <w:bookmarkEnd w:id="88"/>
    </w:p>
    <w:tbl>
      <w:tblPr>
        <w:tblStyle w:val="38"/>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20"/>
        <w:gridCol w:w="4237"/>
      </w:tblGrid>
      <w:tr w14:paraId="11290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897" w:type="dxa"/>
            <w:vAlign w:val="center"/>
          </w:tcPr>
          <w:p w14:paraId="0E5F1D35">
            <w:pPr>
              <w:adjustRightInd w:val="0"/>
              <w:snapToGrid w:val="0"/>
              <w:spacing w:line="360" w:lineRule="auto"/>
              <w:ind w:firstLine="0" w:firstLineChars="0"/>
              <w:jc w:val="left"/>
              <w:rPr>
                <w:rFonts w:ascii="Arial" w:hAnsi="Arial" w:cs="Arial"/>
                <w:color w:val="auto"/>
                <w:sz w:val="21"/>
                <w:szCs w:val="21"/>
                <w:highlight w:val="none"/>
              </w:rPr>
            </w:pPr>
            <w:r>
              <w:rPr>
                <w:rFonts w:hint="eastAsia" w:ascii="宋体" w:hAnsi="宋体" w:eastAsia="宋体" w:cs="宋体"/>
                <w:color w:val="auto"/>
                <w:sz w:val="21"/>
                <w:szCs w:val="21"/>
                <w:highlight w:val="none"/>
              </w:rPr>
              <w:t>序号</w:t>
            </w:r>
          </w:p>
        </w:tc>
        <w:tc>
          <w:tcPr>
            <w:tcW w:w="4220" w:type="dxa"/>
            <w:vAlign w:val="center"/>
          </w:tcPr>
          <w:p w14:paraId="0CC9BE08">
            <w:pPr>
              <w:adjustRightInd w:val="0"/>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资格条件</w:t>
            </w:r>
          </w:p>
        </w:tc>
        <w:tc>
          <w:tcPr>
            <w:tcW w:w="4237" w:type="dxa"/>
            <w:vAlign w:val="center"/>
          </w:tcPr>
          <w:p w14:paraId="7B642D69">
            <w:pPr>
              <w:adjustRightInd w:val="0"/>
              <w:snapToGrid w:val="0"/>
              <w:spacing w:line="36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应提供的资格审查资料</w:t>
            </w:r>
          </w:p>
        </w:tc>
      </w:tr>
      <w:tr w14:paraId="3CE2F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442927F7">
            <w:pPr>
              <w:adjustRightInd w:val="0"/>
              <w:snapToGrid w:val="0"/>
              <w:spacing w:line="360" w:lineRule="auto"/>
              <w:ind w:firstLine="0" w:firstLineChars="0"/>
              <w:jc w:val="center"/>
              <w:rPr>
                <w:rFonts w:ascii="Arial" w:hAnsi="Arial" w:cs="Arial"/>
                <w:color w:val="auto"/>
                <w:sz w:val="21"/>
                <w:szCs w:val="21"/>
                <w:highlight w:val="none"/>
              </w:rPr>
            </w:pPr>
            <w:r>
              <w:rPr>
                <w:rFonts w:ascii="Arial" w:hAnsi="Arial" w:cs="Arial"/>
                <w:color w:val="auto"/>
                <w:sz w:val="21"/>
                <w:szCs w:val="21"/>
                <w:highlight w:val="none"/>
              </w:rPr>
              <w:t>1.</w:t>
            </w:r>
          </w:p>
        </w:tc>
        <w:tc>
          <w:tcPr>
            <w:tcW w:w="4220" w:type="dxa"/>
            <w:vAlign w:val="center"/>
          </w:tcPr>
          <w:p w14:paraId="3A6FEDA8">
            <w:pPr>
              <w:adjustRightInd w:val="0"/>
              <w:snapToGrid w:val="0"/>
              <w:spacing w:line="360" w:lineRule="auto"/>
              <w:ind w:firstLine="482"/>
              <w:jc w:val="left"/>
              <w:rPr>
                <w:rFonts w:ascii="Arial" w:hAnsi="Arial" w:cs="Arial"/>
                <w:color w:val="auto"/>
                <w:sz w:val="21"/>
                <w:szCs w:val="21"/>
                <w:highlight w:val="none"/>
              </w:rPr>
            </w:pPr>
            <w:r>
              <w:rPr>
                <w:rFonts w:ascii="Arial" w:hAnsi="Arial" w:cs="Arial"/>
                <w:b/>
                <w:bCs/>
                <w:color w:val="auto"/>
                <w:kern w:val="0"/>
                <w:sz w:val="21"/>
                <w:szCs w:val="21"/>
                <w:highlight w:val="none"/>
              </w:rPr>
              <w:t>基本资格要求：</w:t>
            </w:r>
          </w:p>
        </w:tc>
        <w:tc>
          <w:tcPr>
            <w:tcW w:w="4237" w:type="dxa"/>
            <w:vAlign w:val="center"/>
          </w:tcPr>
          <w:p w14:paraId="63486CE7">
            <w:pPr>
              <w:adjustRightInd w:val="0"/>
              <w:snapToGrid w:val="0"/>
              <w:spacing w:line="360" w:lineRule="auto"/>
              <w:ind w:firstLine="480"/>
              <w:jc w:val="left"/>
              <w:rPr>
                <w:rFonts w:ascii="Arial" w:hAnsi="Arial" w:cs="Arial"/>
                <w:color w:val="auto"/>
                <w:sz w:val="21"/>
                <w:szCs w:val="21"/>
                <w:highlight w:val="none"/>
              </w:rPr>
            </w:pPr>
          </w:p>
        </w:tc>
      </w:tr>
      <w:tr w14:paraId="6BC0E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97" w:type="dxa"/>
            <w:vAlign w:val="center"/>
          </w:tcPr>
          <w:p w14:paraId="10F08E2D">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20" w:type="dxa"/>
            <w:vAlign w:val="center"/>
          </w:tcPr>
          <w:p w14:paraId="235C72C0">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具有独立承担民事责任的能力；</w:t>
            </w:r>
          </w:p>
        </w:tc>
        <w:tc>
          <w:tcPr>
            <w:tcW w:w="4237" w:type="dxa"/>
            <w:vAlign w:val="center"/>
          </w:tcPr>
          <w:p w14:paraId="4B8AD80A">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1）营业执照（或事业法人登记证或其他工商等登记证明材料）复印件</w:t>
            </w:r>
          </w:p>
        </w:tc>
      </w:tr>
      <w:tr w14:paraId="571F0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B8A1371">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20" w:type="dxa"/>
            <w:vAlign w:val="center"/>
          </w:tcPr>
          <w:p w14:paraId="7DD5D64A">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具有良好的商业信誉和健全的财务会计制度；</w:t>
            </w:r>
          </w:p>
        </w:tc>
        <w:tc>
          <w:tcPr>
            <w:tcW w:w="4237" w:type="dxa"/>
            <w:vAlign w:val="center"/>
          </w:tcPr>
          <w:p w14:paraId="33DFC7C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2）具有良好商业信誉和健全的财务会计制度的声明函；【声明函1】</w:t>
            </w:r>
          </w:p>
        </w:tc>
      </w:tr>
      <w:tr w14:paraId="7CF54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70713F59">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20" w:type="dxa"/>
            <w:vAlign w:val="center"/>
          </w:tcPr>
          <w:p w14:paraId="2F95AFA7">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具有履行合同所必需的设备和专业技术能力；</w:t>
            </w:r>
          </w:p>
        </w:tc>
        <w:tc>
          <w:tcPr>
            <w:tcW w:w="4237" w:type="dxa"/>
            <w:vAlign w:val="center"/>
          </w:tcPr>
          <w:p w14:paraId="336B8618">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3）具有履行合同所必需的设备和专业技术能力的声明函；【声明函2】</w:t>
            </w:r>
          </w:p>
        </w:tc>
      </w:tr>
      <w:tr w14:paraId="7A1B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897" w:type="dxa"/>
            <w:vAlign w:val="center"/>
          </w:tcPr>
          <w:p w14:paraId="2B1B4BE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220" w:type="dxa"/>
            <w:vAlign w:val="center"/>
          </w:tcPr>
          <w:p w14:paraId="1EE4FF3D">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具有依法缴纳税收和社会保障资金的良好记录；</w:t>
            </w:r>
          </w:p>
        </w:tc>
        <w:tc>
          <w:tcPr>
            <w:tcW w:w="4237" w:type="dxa"/>
            <w:vAlign w:val="center"/>
          </w:tcPr>
          <w:p w14:paraId="42920586">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4）依法缴纳税收和社会保障资金良好记录的声明函【声明函3】</w:t>
            </w:r>
          </w:p>
        </w:tc>
      </w:tr>
      <w:tr w14:paraId="226B4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1694E7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220" w:type="dxa"/>
            <w:vAlign w:val="center"/>
          </w:tcPr>
          <w:p w14:paraId="35E8A462">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参加政府采购活动前三年内，在经营活动中没有重大违法记录；</w:t>
            </w:r>
          </w:p>
        </w:tc>
        <w:tc>
          <w:tcPr>
            <w:tcW w:w="4237" w:type="dxa"/>
            <w:vAlign w:val="center"/>
          </w:tcPr>
          <w:p w14:paraId="2CE64CC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5）没有重大违法记录的声明函【声明函4】</w:t>
            </w:r>
          </w:p>
        </w:tc>
      </w:tr>
      <w:tr w14:paraId="4526B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58D2C1D6">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220" w:type="dxa"/>
            <w:vAlign w:val="center"/>
          </w:tcPr>
          <w:p w14:paraId="13D761B0">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未被“信用中国”（www.creditchina.gov.cn）、中国政府采购网（www.ccgp.gov.cn）列入失信被执行人、重大税收违法案件当事人名单、政府采购严重违法失信行为记录名单。</w:t>
            </w:r>
          </w:p>
        </w:tc>
        <w:tc>
          <w:tcPr>
            <w:tcW w:w="4237" w:type="dxa"/>
            <w:vAlign w:val="center"/>
          </w:tcPr>
          <w:p w14:paraId="474CD09A">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6）无违法失信的声明函。【声明函5】</w:t>
            </w:r>
          </w:p>
        </w:tc>
      </w:tr>
      <w:tr w14:paraId="0A26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97" w:type="dxa"/>
            <w:vAlign w:val="center"/>
          </w:tcPr>
          <w:p w14:paraId="504EB171">
            <w:pPr>
              <w:adjustRightInd w:val="0"/>
              <w:snapToGrid w:val="0"/>
              <w:spacing w:line="36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2.</w:t>
            </w:r>
          </w:p>
        </w:tc>
        <w:tc>
          <w:tcPr>
            <w:tcW w:w="4220" w:type="dxa"/>
            <w:vAlign w:val="center"/>
          </w:tcPr>
          <w:p w14:paraId="56725643">
            <w:pPr>
              <w:adjustRightInd w:val="0"/>
              <w:snapToGrid w:val="0"/>
              <w:spacing w:line="36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特定资格要求：</w:t>
            </w:r>
          </w:p>
        </w:tc>
        <w:tc>
          <w:tcPr>
            <w:tcW w:w="4237" w:type="dxa"/>
            <w:vAlign w:val="center"/>
          </w:tcPr>
          <w:p w14:paraId="6DF6439D">
            <w:pPr>
              <w:adjustRightInd w:val="0"/>
              <w:snapToGrid w:val="0"/>
              <w:spacing w:line="360" w:lineRule="auto"/>
              <w:ind w:firstLine="0" w:firstLineChars="0"/>
              <w:jc w:val="center"/>
              <w:rPr>
                <w:rFonts w:ascii="宋体" w:hAnsi="宋体" w:eastAsia="宋体" w:cs="宋体"/>
                <w:color w:val="auto"/>
                <w:sz w:val="21"/>
                <w:szCs w:val="21"/>
                <w:highlight w:val="none"/>
              </w:rPr>
            </w:pPr>
          </w:p>
        </w:tc>
      </w:tr>
      <w:tr w14:paraId="3AA53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jc w:val="center"/>
        </w:trPr>
        <w:tc>
          <w:tcPr>
            <w:tcW w:w="897" w:type="dxa"/>
            <w:vAlign w:val="center"/>
          </w:tcPr>
          <w:p w14:paraId="56B776CB">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20" w:type="dxa"/>
            <w:vAlign w:val="center"/>
          </w:tcPr>
          <w:p w14:paraId="365A46B6">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tc>
        <w:tc>
          <w:tcPr>
            <w:tcW w:w="4237" w:type="dxa"/>
            <w:vAlign w:val="center"/>
          </w:tcPr>
          <w:p w14:paraId="2DAA3D04">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7）与其他供应商无利害关系的声明函。【声明函6】</w:t>
            </w:r>
          </w:p>
        </w:tc>
      </w:tr>
      <w:tr w14:paraId="5709D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7" w:type="dxa"/>
            <w:vAlign w:val="center"/>
          </w:tcPr>
          <w:p w14:paraId="4257C375">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20" w:type="dxa"/>
            <w:vAlign w:val="center"/>
          </w:tcPr>
          <w:p w14:paraId="03D0AFD5">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不是公益一类事业单位、使用事业编制且由财政拨款保障的群团组织。</w:t>
            </w:r>
          </w:p>
        </w:tc>
        <w:tc>
          <w:tcPr>
            <w:tcW w:w="4237" w:type="dxa"/>
            <w:vAlign w:val="center"/>
          </w:tcPr>
          <w:p w14:paraId="5410E833">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8）单位组织形式声明函。【声明函7】</w:t>
            </w:r>
          </w:p>
        </w:tc>
      </w:tr>
      <w:tr w14:paraId="1B2DB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7" w:type="dxa"/>
            <w:vAlign w:val="center"/>
          </w:tcPr>
          <w:p w14:paraId="11D93F83">
            <w:pPr>
              <w:adjustRightInd w:val="0"/>
              <w:snapToGrid w:val="0"/>
              <w:spacing w:line="36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20" w:type="dxa"/>
            <w:vAlign w:val="center"/>
          </w:tcPr>
          <w:p w14:paraId="10AD615C">
            <w:pPr>
              <w:adjustRightInd w:val="0"/>
              <w:snapToGrid w:val="0"/>
              <w:spacing w:line="36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非联合体。</w:t>
            </w:r>
          </w:p>
        </w:tc>
        <w:tc>
          <w:tcPr>
            <w:tcW w:w="4237" w:type="dxa"/>
            <w:vAlign w:val="center"/>
          </w:tcPr>
          <w:p w14:paraId="32D54698">
            <w:pPr>
              <w:adjustRightInd w:val="0"/>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9）非联合体的声明函。【声明函8】</w:t>
            </w:r>
          </w:p>
        </w:tc>
      </w:tr>
      <w:tr w14:paraId="69C7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97" w:type="dxa"/>
            <w:vAlign w:val="center"/>
          </w:tcPr>
          <w:p w14:paraId="33B90EDD">
            <w:pPr>
              <w:adjustRightInd w:val="0"/>
              <w:snapToGrid w:val="0"/>
              <w:spacing w:line="360" w:lineRule="auto"/>
              <w:ind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p>
        </w:tc>
        <w:tc>
          <w:tcPr>
            <w:tcW w:w="4220" w:type="dxa"/>
            <w:vAlign w:val="center"/>
          </w:tcPr>
          <w:p w14:paraId="42F677D8">
            <w:pPr>
              <w:adjustRightInd w:val="0"/>
              <w:snapToGrid w:val="0"/>
              <w:spacing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具有有效的劳务派遣经营许可证</w:t>
            </w:r>
          </w:p>
        </w:tc>
        <w:tc>
          <w:tcPr>
            <w:tcW w:w="4237" w:type="dxa"/>
            <w:vAlign w:val="center"/>
          </w:tcPr>
          <w:p w14:paraId="525E5B5F">
            <w:pPr>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10）提供有效的劳务派遣经营许可证复制件</w:t>
            </w:r>
          </w:p>
        </w:tc>
      </w:tr>
    </w:tbl>
    <w:p w14:paraId="16B537C2">
      <w:pPr>
        <w:tabs>
          <w:tab w:val="left" w:pos="0"/>
          <w:tab w:val="left" w:pos="900"/>
          <w:tab w:val="left" w:pos="7020"/>
          <w:tab w:val="left" w:pos="8460"/>
        </w:tabs>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上述资格条件审查材料有一项不提供或提供无效的，视为资格审查不通过，不进入后续评审。</w:t>
      </w:r>
    </w:p>
    <w:p w14:paraId="14AEB4B3">
      <w:pPr>
        <w:pStyle w:val="33"/>
        <w:widowControl w:val="0"/>
        <w:tabs>
          <w:tab w:val="left" w:pos="0"/>
        </w:tabs>
        <w:adjustRightInd w:val="0"/>
        <w:snapToGrid w:val="0"/>
        <w:spacing w:before="167" w:beforeLines="50" w:line="360" w:lineRule="auto"/>
        <w:ind w:left="480" w:leftChars="200" w:firstLine="0" w:firstLineChars="0"/>
        <w:jc w:val="both"/>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12.2资信</w:t>
      </w:r>
      <w:r>
        <w:rPr>
          <w:rFonts w:hint="eastAsia" w:ascii="宋体" w:hAns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rPr>
        <w:t>文件，包括但不限于下列内容：</w:t>
      </w:r>
    </w:p>
    <w:p w14:paraId="5F3FB8BD">
      <w:pPr>
        <w:snapToGrid w:val="0"/>
        <w:spacing w:line="360" w:lineRule="auto"/>
        <w:ind w:left="480" w:leftChars="200" w:firstLine="0" w:firstLineChars="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A．资信部分</w:t>
      </w:r>
    </w:p>
    <w:p w14:paraId="2DBB2928">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zh-CN"/>
        </w:rPr>
        <w:t>法定代表人资格证明书（格式</w:t>
      </w:r>
      <w:r>
        <w:rPr>
          <w:rFonts w:hint="eastAsia" w:ascii="宋体" w:hAnsi="宋体" w:eastAsia="宋体" w:cs="宋体"/>
          <w:color w:val="auto"/>
          <w:sz w:val="21"/>
          <w:szCs w:val="21"/>
          <w:highlight w:val="none"/>
        </w:rPr>
        <w:t>1-1</w:t>
      </w:r>
      <w:r>
        <w:rPr>
          <w:rFonts w:hint="eastAsia" w:ascii="宋体" w:hAnsi="宋体" w:eastAsia="宋体" w:cs="宋体"/>
          <w:color w:val="auto"/>
          <w:sz w:val="21"/>
          <w:szCs w:val="21"/>
          <w:highlight w:val="none"/>
          <w:lang w:val="zh-CN"/>
        </w:rPr>
        <w:t>）</w:t>
      </w:r>
    </w:p>
    <w:p w14:paraId="352B9333">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zh-CN"/>
        </w:rPr>
        <w:t>）法定代表人授权书（格式</w:t>
      </w: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zh-CN"/>
        </w:rPr>
        <w:t>）投标代表是法定代表人不需提供。</w:t>
      </w:r>
    </w:p>
    <w:p w14:paraId="25B561D5">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廉政承诺书</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zh-CN"/>
        </w:rPr>
        <w:t>）</w:t>
      </w:r>
    </w:p>
    <w:p w14:paraId="0AAB3E3C">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（4）投标人基本情况表</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zh-CN"/>
        </w:rPr>
        <w:t>）</w:t>
      </w:r>
    </w:p>
    <w:p w14:paraId="3BBE21D9">
      <w:pPr>
        <w:snapToGrid w:val="0"/>
        <w:spacing w:line="360" w:lineRule="auto"/>
        <w:ind w:left="480" w:leftChars="200" w:firstLine="0" w:firstLineChars="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val="zh-CN"/>
        </w:rPr>
        <w:t>）类似项目实施情况一览表</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w:t>
      </w:r>
    </w:p>
    <w:p w14:paraId="36D32738">
      <w:pPr>
        <w:snapToGrid w:val="0"/>
        <w:spacing w:line="360" w:lineRule="auto"/>
        <w:ind w:left="480" w:leftChars="20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rPr>
        <w:t>商务和技术偏离表（</w:t>
      </w:r>
      <w:r>
        <w:rPr>
          <w:rFonts w:hint="eastAsia" w:ascii="宋体" w:hAnsi="宋体" w:eastAsia="宋体" w:cs="宋体"/>
          <w:color w:val="auto"/>
          <w:sz w:val="21"/>
          <w:szCs w:val="21"/>
          <w:highlight w:val="none"/>
          <w:lang w:val="zh-CN"/>
        </w:rPr>
        <w:t>格式</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w:t>
      </w:r>
    </w:p>
    <w:p w14:paraId="6279BC58">
      <w:pPr>
        <w:pStyle w:val="9"/>
        <w:spacing w:line="360" w:lineRule="auto"/>
        <w:rPr>
          <w:rFonts w:hint="eastAsia" w:ascii="宋体" w:hAnsi="宋体" w:eastAsia="宋体" w:cs="宋体"/>
          <w:color w:val="auto"/>
          <w:sz w:val="21"/>
          <w:szCs w:val="21"/>
          <w:highlight w:val="none"/>
          <w:lang w:val="zh-CN"/>
        </w:rPr>
      </w:pPr>
      <w:r>
        <w:rPr>
          <w:rFonts w:hint="eastAsia" w:ascii="宋体" w:hAnsi="宋体" w:eastAsia="宋体" w:cs="宋体"/>
          <w:b/>
          <w:bCs/>
          <w:color w:val="auto"/>
          <w:sz w:val="21"/>
          <w:szCs w:val="21"/>
          <w:highlight w:val="none"/>
        </w:rPr>
        <w:t>B.技术部分</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color w:val="auto"/>
          <w:sz w:val="21"/>
          <w:szCs w:val="21"/>
          <w:highlight w:val="none"/>
          <w:lang w:val="zh-CN"/>
        </w:rPr>
        <w:t>包括但不仅限于(以下内容可以以资料、图表或说明的形式表述）</w:t>
      </w:r>
    </w:p>
    <w:p w14:paraId="626EF131">
      <w:pPr>
        <w:pStyle w:val="9"/>
        <w:spacing w:line="360" w:lineRule="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（1）由投标人按</w:t>
      </w:r>
      <w:r>
        <w:rPr>
          <w:rFonts w:hint="eastAsia" w:ascii="宋体" w:hAnsi="宋体" w:eastAsia="宋体" w:cs="宋体"/>
          <w:color w:val="auto"/>
          <w:sz w:val="21"/>
          <w:szCs w:val="21"/>
          <w:highlight w:val="none"/>
          <w:lang w:val="en-US" w:eastAsia="zh-CN"/>
        </w:rPr>
        <w:t>采购需求及</w:t>
      </w:r>
      <w:r>
        <w:rPr>
          <w:rFonts w:hint="eastAsia" w:ascii="宋体" w:hAnsi="宋体" w:eastAsia="宋体" w:cs="宋体"/>
          <w:color w:val="auto"/>
          <w:sz w:val="21"/>
          <w:szCs w:val="21"/>
          <w:highlight w:val="none"/>
          <w:lang w:val="zh-CN"/>
        </w:rPr>
        <w:t>评分细则自行</w:t>
      </w:r>
      <w:r>
        <w:rPr>
          <w:rFonts w:hint="eastAsia" w:ascii="宋体" w:hAnsi="宋体" w:eastAsia="宋体" w:cs="宋体"/>
          <w:color w:val="auto"/>
          <w:sz w:val="21"/>
          <w:szCs w:val="21"/>
          <w:highlight w:val="none"/>
          <w:lang w:val="en-US" w:eastAsia="zh-CN"/>
        </w:rPr>
        <w:t>提供或</w:t>
      </w:r>
      <w:r>
        <w:rPr>
          <w:rFonts w:hint="eastAsia" w:ascii="宋体" w:hAnsi="宋体" w:eastAsia="宋体" w:cs="宋体"/>
          <w:color w:val="auto"/>
          <w:sz w:val="21"/>
          <w:szCs w:val="21"/>
          <w:highlight w:val="none"/>
          <w:lang w:val="zh-CN"/>
        </w:rPr>
        <w:t>编制</w:t>
      </w:r>
    </w:p>
    <w:p w14:paraId="298535CA">
      <w:pPr>
        <w:pStyle w:val="9"/>
        <w:spacing w:line="360" w:lineRule="auto"/>
        <w:rPr>
          <w:rFonts w:hint="eastAsia"/>
          <w:color w:val="auto"/>
          <w:sz w:val="21"/>
          <w:szCs w:val="21"/>
          <w:highlight w:val="none"/>
          <w:lang w:val="zh-CN"/>
        </w:rPr>
      </w:pPr>
      <w:r>
        <w:rPr>
          <w:rFonts w:hint="eastAsia" w:ascii="宋体" w:hAnsi="宋体" w:eastAsia="宋体" w:cs="宋体"/>
          <w:color w:val="auto"/>
          <w:sz w:val="21"/>
          <w:szCs w:val="21"/>
          <w:highlight w:val="none"/>
          <w:lang w:val="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val="zh-CN"/>
        </w:rPr>
        <w:t>）投标人认为有必要提供的其他文件和说明（格式自拟）</w:t>
      </w:r>
      <w:r>
        <w:rPr>
          <w:rFonts w:hint="eastAsia" w:ascii="宋体" w:hAnsi="宋体" w:eastAsia="宋体" w:cs="宋体"/>
          <w:color w:val="auto"/>
          <w:sz w:val="21"/>
          <w:szCs w:val="21"/>
          <w:highlight w:val="none"/>
        </w:rPr>
        <w:t>。</w:t>
      </w:r>
    </w:p>
    <w:p w14:paraId="67CEA12D">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12.2【商务报价文件】</w:t>
      </w:r>
    </w:p>
    <w:p w14:paraId="53D0F1E6">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12.2.1▲投标函（格式</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 xml:space="preserve">） </w:t>
      </w:r>
    </w:p>
    <w:p w14:paraId="09F6EC54">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12.2.2▲投标报价表（格式</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w:t>
      </w:r>
    </w:p>
    <w:p w14:paraId="54D9D767">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12.2.3中小企业声明函、监狱企业、残疾人福利性单位证明材料（如有）（格式见附件</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p>
    <w:p w14:paraId="42104280">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投标文件内容填写说明 </w:t>
      </w:r>
    </w:p>
    <w:p w14:paraId="3453F68F">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在认真阅读招标文件所有内容的基础上，按照招标文件的要求编制完整的投标文件。投标文件应按照招标文件中规定的统一格式填写，严格按照规定的顺序用装订成册并编制目录，混乱的编排导致投标文件被误读或采购人查找不到有效文件是供应商的风险。招标文件对投标文件格式有要求的应按格式逐项填写内容，不准有空项；无相应内容可填的项应填写“无”、“未测试”、“没有相应指标”等明确的回答文字。</w:t>
      </w:r>
    </w:p>
    <w:p w14:paraId="2CF5F8E4">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供应商必须保证投标文件所提供的全部资料真实可靠，并接受采购人对其中任何资料进一步审查的要求。</w:t>
      </w:r>
    </w:p>
    <w:p w14:paraId="72CEAFE0">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《开标一览表》为在开标仪式上唱标的内容，要求按格式</w:t>
      </w:r>
      <w:r>
        <w:rPr>
          <w:rFonts w:hint="eastAsia" w:ascii="宋体" w:hAnsi="宋体" w:eastAsia="宋体" w:cs="宋体"/>
          <w:b/>
          <w:bCs/>
          <w:color w:val="auto"/>
          <w:sz w:val="21"/>
          <w:szCs w:val="21"/>
          <w:highlight w:val="none"/>
        </w:rPr>
        <w:t>印刷体填写</w:t>
      </w:r>
      <w:r>
        <w:rPr>
          <w:rFonts w:hint="eastAsia" w:ascii="宋体" w:hAnsi="宋体" w:eastAsia="宋体" w:cs="宋体"/>
          <w:color w:val="auto"/>
          <w:sz w:val="21"/>
          <w:szCs w:val="21"/>
          <w:highlight w:val="none"/>
        </w:rPr>
        <w:t>、统一规范，不得自行增减内容。</w:t>
      </w:r>
    </w:p>
    <w:p w14:paraId="779C7E86">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投标文件须对招标文件中的内容做出实质性的和完整的响应，否则其投标将被拒绝。如果投标文件填报的内容资料不详，或没有提供招标文件中所要求的全部资料及数据，将会导致投标被拒绝。</w:t>
      </w:r>
    </w:p>
    <w:p w14:paraId="1590D7B0">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供应商已明知采购期间或之后企业将发生兼并改制，或提供的产品将停产、淘汰，或必须有偿使用指定的第三方中间件和插件的，及其他应当告知采购人可能影响采购项目实施</w:t>
      </w:r>
      <w:r>
        <w:rPr>
          <w:rFonts w:hint="eastAsia" w:ascii="宋体" w:hAnsi="宋体" w:eastAsia="宋体" w:cs="宋体"/>
          <w:color w:val="auto"/>
          <w:spacing w:val="-6"/>
          <w:sz w:val="21"/>
          <w:szCs w:val="21"/>
          <w:highlight w:val="none"/>
        </w:rPr>
        <w:t>或损害采购人利益的信息，必须在投标文件中予以特别说明，否则，采购人可以拒绝其投标文件。</w:t>
      </w:r>
    </w:p>
    <w:p w14:paraId="7ED553A5">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投标文件不得涂改和增删，如有错漏必须修改，修改处须由授权代表签字或盖章。</w:t>
      </w:r>
    </w:p>
    <w:p w14:paraId="3F298737">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由于字迹模糊或表达不清引起的后果由投标人负责。</w:t>
      </w:r>
    </w:p>
    <w:p w14:paraId="1470E87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规格性能偏离表：所提供的服务与采购需求等方面有偏离或对服务有好的建议，应填写《投标响应表》，否则认为响应招标文件要求。</w:t>
      </w:r>
    </w:p>
    <w:p w14:paraId="1FDD96F1">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w:t>
      </w:r>
    </w:p>
    <w:p w14:paraId="065E094E">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投标报价应按招标文件中相关附表格式填写。</w:t>
      </w:r>
    </w:p>
    <w:p w14:paraId="6D6F3069">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是履行合同最终报价，报价中包含本项目采购文件确定的采购需求范围内的全部工作内容的价格表现。完成本项目采购需求范围内全部工作内容所需支付的成本、企业应缴纳的税费及合理利润等所有费用，以及项目实施过程中合理存在的风险等采购文件未列明但可能产生额外成本的因素，均已周全考虑后计入以上报价。投标文件只允许有一个报价，有选择的或有条件的报价将不予接受。</w:t>
      </w:r>
    </w:p>
    <w:p w14:paraId="365FD0D8">
      <w:pPr>
        <w:numPr>
          <w:ilvl w:val="1"/>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p w14:paraId="46E20083">
      <w:pPr>
        <w:numPr>
          <w:ilvl w:val="2"/>
          <w:numId w:val="5"/>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投标文件从投标文件递交截止之日起，有效期为90天；</w:t>
      </w:r>
      <w:bookmarkStart w:id="89" w:name="_Toc28902"/>
      <w:bookmarkStart w:id="90" w:name="_Toc356371436"/>
      <w:bookmarkStart w:id="91" w:name="_Toc14590"/>
      <w:bookmarkStart w:id="92" w:name="_Toc359856801"/>
      <w:bookmarkStart w:id="93" w:name="_Toc16200"/>
      <w:bookmarkStart w:id="94" w:name="_Toc18387"/>
      <w:bookmarkStart w:id="95" w:name="_Toc2552"/>
      <w:bookmarkStart w:id="96" w:name="_Toc16686"/>
    </w:p>
    <w:p w14:paraId="4A77B24C">
      <w:pPr>
        <w:pStyle w:val="4"/>
        <w:spacing w:before="167" w:after="167" w:line="360" w:lineRule="auto"/>
        <w:ind w:firstLine="0" w:firstLineChars="0"/>
        <w:jc w:val="center"/>
        <w:rPr>
          <w:rFonts w:ascii="宋体" w:hAnsi="宋体" w:eastAsia="宋体" w:cs="宋体"/>
          <w:color w:val="auto"/>
          <w:sz w:val="24"/>
          <w:szCs w:val="24"/>
          <w:highlight w:val="none"/>
        </w:rPr>
      </w:pPr>
      <w:bookmarkStart w:id="97" w:name="_Toc5843"/>
      <w:r>
        <w:rPr>
          <w:rFonts w:hint="eastAsia" w:ascii="宋体" w:hAnsi="宋体" w:eastAsia="宋体" w:cs="宋体"/>
          <w:color w:val="auto"/>
          <w:sz w:val="24"/>
          <w:szCs w:val="24"/>
          <w:highlight w:val="none"/>
        </w:rPr>
        <w:t>五、</w:t>
      </w:r>
      <w:bookmarkEnd w:id="89"/>
      <w:bookmarkEnd w:id="90"/>
      <w:bookmarkEnd w:id="91"/>
      <w:bookmarkEnd w:id="92"/>
      <w:bookmarkEnd w:id="93"/>
      <w:bookmarkEnd w:id="94"/>
      <w:bookmarkEnd w:id="95"/>
      <w:bookmarkEnd w:id="96"/>
      <w:r>
        <w:rPr>
          <w:rFonts w:hint="eastAsia" w:ascii="宋体" w:hAnsi="宋体" w:eastAsia="宋体" w:cs="宋体"/>
          <w:color w:val="auto"/>
          <w:sz w:val="24"/>
          <w:szCs w:val="24"/>
          <w:highlight w:val="none"/>
        </w:rPr>
        <w:t>处罚行为</w:t>
      </w:r>
      <w:bookmarkEnd w:id="97"/>
    </w:p>
    <w:p w14:paraId="68913AE0">
      <w:pPr>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highlight w:val="none"/>
        </w:rPr>
        <w:t xml:space="preserve">    </w:t>
      </w:r>
      <w:r>
        <w:rPr>
          <w:rFonts w:hint="eastAsia" w:ascii="宋体" w:hAnsi="宋体" w:eastAsia="宋体" w:cs="宋体"/>
          <w:color w:val="auto"/>
          <w:sz w:val="21"/>
          <w:szCs w:val="21"/>
          <w:highlight w:val="none"/>
        </w:rPr>
        <w:t xml:space="preserve"> 16.供应商发生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0A1712EE">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提供虚假材料谋取中标、成交的</w:t>
      </w:r>
    </w:p>
    <w:p w14:paraId="2CB9AF27">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采取不正当手段诋毁、排挤其他投标供应商的；</w:t>
      </w:r>
    </w:p>
    <w:p w14:paraId="41549639">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与采购单位、其它投标供应商恶意串通的；</w:t>
      </w:r>
    </w:p>
    <w:p w14:paraId="738EF0CC">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向采购单位、代理机构行贿或者提供其他不正当利益的</w:t>
      </w:r>
    </w:p>
    <w:p w14:paraId="23545480">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在采购过程中与采购单位进行协商谈判的；</w:t>
      </w:r>
    </w:p>
    <w:p w14:paraId="405A9EAF">
      <w:pPr>
        <w:numPr>
          <w:ilvl w:val="2"/>
          <w:numId w:val="6"/>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拒绝有关部门监督检查或提供虚假情况的</w:t>
      </w:r>
    </w:p>
    <w:p w14:paraId="66EBA20C">
      <w:pPr>
        <w:snapToGrid w:val="0"/>
        <w:spacing w:line="36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17.供应商发生《浙江省政府采购供应商注册及诚信管理暂行办法》（浙财采监字[2009]28号）第三十八条、第三十九条规定情形之一的，采购单位或采购代理机构将按不良行为记入该供应商诚信档案中。</w:t>
      </w:r>
    </w:p>
    <w:p w14:paraId="38B3E685">
      <w:pPr>
        <w:pStyle w:val="4"/>
        <w:spacing w:before="167" w:after="167" w:line="360" w:lineRule="auto"/>
        <w:ind w:firstLine="0" w:firstLineChars="0"/>
        <w:jc w:val="center"/>
        <w:rPr>
          <w:rFonts w:ascii="宋体" w:hAnsi="宋体" w:eastAsia="宋体" w:cs="宋体"/>
          <w:color w:val="auto"/>
          <w:sz w:val="24"/>
          <w:szCs w:val="24"/>
          <w:highlight w:val="none"/>
        </w:rPr>
      </w:pPr>
      <w:bookmarkStart w:id="98" w:name="_Toc10858"/>
      <w:bookmarkStart w:id="99" w:name="_Toc21593"/>
      <w:bookmarkStart w:id="100" w:name="_Toc609"/>
      <w:bookmarkStart w:id="101" w:name="_Toc10664"/>
      <w:bookmarkStart w:id="102" w:name="_Toc32681"/>
      <w:bookmarkStart w:id="103" w:name="_Toc359856802"/>
      <w:bookmarkStart w:id="104" w:name="_Toc26462"/>
      <w:bookmarkStart w:id="105" w:name="_Toc9655"/>
      <w:r>
        <w:rPr>
          <w:rFonts w:hint="eastAsia" w:ascii="宋体" w:hAnsi="宋体" w:eastAsia="宋体" w:cs="宋体"/>
          <w:color w:val="auto"/>
          <w:sz w:val="24"/>
          <w:szCs w:val="24"/>
          <w:highlight w:val="none"/>
        </w:rPr>
        <w:t>六、投标文件的签署及规定</w:t>
      </w:r>
      <w:bookmarkEnd w:id="98"/>
      <w:bookmarkEnd w:id="99"/>
      <w:bookmarkEnd w:id="100"/>
      <w:bookmarkEnd w:id="101"/>
      <w:bookmarkEnd w:id="102"/>
      <w:bookmarkEnd w:id="103"/>
      <w:bookmarkEnd w:id="104"/>
      <w:bookmarkEnd w:id="105"/>
    </w:p>
    <w:p w14:paraId="2199F079">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供应商应按本须知的相关要求准备投标文件，每套文件须清楚的标明“资格审查文件”“资信技术文件”、“商务报价文件”和“正本”、“副本”。若正本和副本有差异，以正本为准。</w:t>
      </w:r>
    </w:p>
    <w:p w14:paraId="22A3E5BF">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投标文件的正本需打印或用不褪色墨水书写，并由供应商或经正式授权的代表在投标文件上签字或盖章。授权代表须以书面形式出具的“授权证书”附在投标文件中。文件的副本可采用正本复印。</w:t>
      </w:r>
    </w:p>
    <w:p w14:paraId="2A7B54E9">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▲投标文件封面须加盖投标人单位公章。</w:t>
      </w:r>
    </w:p>
    <w:p w14:paraId="66A6F5D3">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任何行间插字、涂改和增删，必须由投标文件签字人在旁边签字才有效。</w:t>
      </w:r>
    </w:p>
    <w:p w14:paraId="06244051">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电报、电话、传真形式的投标文件概不接受。</w:t>
      </w:r>
    </w:p>
    <w:p w14:paraId="42CB5860">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投标文件的密封和标记</w:t>
      </w:r>
    </w:p>
    <w:p w14:paraId="07D25EBE">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▲投标文件应分为资格审查文件/资信技术文件/报价文件三部分，三部分单独密封并在封口及相关部位加盖供应商单位公章。</w:t>
      </w:r>
      <w:bookmarkStart w:id="106" w:name="_Toc24749"/>
      <w:bookmarkStart w:id="107" w:name="_Toc24484"/>
      <w:bookmarkStart w:id="108" w:name="_Toc17985"/>
      <w:bookmarkStart w:id="109" w:name="_Toc359856803"/>
      <w:bookmarkStart w:id="110" w:name="_Toc356371437"/>
      <w:bookmarkStart w:id="111" w:name="_Toc27585"/>
      <w:bookmarkStart w:id="112" w:name="_Toc31109"/>
      <w:bookmarkStart w:id="113" w:name="_Toc19789"/>
    </w:p>
    <w:p w14:paraId="4A5CCA33">
      <w:pPr>
        <w:pStyle w:val="4"/>
        <w:spacing w:before="167" w:after="167" w:line="360" w:lineRule="auto"/>
        <w:ind w:firstLine="0" w:firstLineChars="0"/>
        <w:jc w:val="center"/>
        <w:rPr>
          <w:rFonts w:ascii="宋体" w:hAnsi="宋体" w:eastAsia="宋体" w:cs="宋体"/>
          <w:color w:val="auto"/>
          <w:sz w:val="24"/>
          <w:szCs w:val="24"/>
          <w:highlight w:val="none"/>
        </w:rPr>
      </w:pPr>
      <w:bookmarkStart w:id="114" w:name="_Toc14033"/>
      <w:r>
        <w:rPr>
          <w:rFonts w:hint="eastAsia" w:ascii="宋体" w:hAnsi="宋体" w:eastAsia="宋体" w:cs="宋体"/>
          <w:color w:val="auto"/>
          <w:sz w:val="24"/>
          <w:szCs w:val="24"/>
          <w:highlight w:val="none"/>
        </w:rPr>
        <w:t>七、投标文件的递交</w:t>
      </w:r>
      <w:bookmarkEnd w:id="106"/>
      <w:bookmarkEnd w:id="107"/>
      <w:bookmarkEnd w:id="108"/>
      <w:bookmarkEnd w:id="109"/>
      <w:bookmarkEnd w:id="110"/>
      <w:bookmarkEnd w:id="111"/>
      <w:bookmarkEnd w:id="112"/>
      <w:bookmarkEnd w:id="113"/>
      <w:bookmarkEnd w:id="114"/>
    </w:p>
    <w:p w14:paraId="2EB7AC28">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递交投标文件截止时间及地点：见投标人须知前附表</w:t>
      </w:r>
    </w:p>
    <w:p w14:paraId="2927F1D3">
      <w:pPr>
        <w:numPr>
          <w:ilvl w:val="1"/>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投标文件的修改和撤销</w:t>
      </w:r>
    </w:p>
    <w:p w14:paraId="1F19B273">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供应商在递交投标文件后，可以修改或撤回其投标文件，但供应商必须在规定的递交投标文件截止时间之前将修改或撤回的书面通知递交到采购人。</w:t>
      </w:r>
    </w:p>
    <w:p w14:paraId="7023FF41">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供应商修改后的投标文件应按原来的规定编制、密封、标记和递交。</w:t>
      </w:r>
    </w:p>
    <w:p w14:paraId="4D2ABB7A">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在递交投标文件截止期之后，供应商不得对其投标文件做任何修改。</w:t>
      </w:r>
    </w:p>
    <w:p w14:paraId="10058DA1">
      <w:pPr>
        <w:numPr>
          <w:ilvl w:val="2"/>
          <w:numId w:val="7"/>
        </w:num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递交投标文件截止期后，供应商不得撤回其投标文件，否则招标人将上报有关部门列入失信名单。</w:t>
      </w:r>
    </w:p>
    <w:p w14:paraId="6AF202B0">
      <w:pPr>
        <w:numPr>
          <w:ilvl w:val="2"/>
          <w:numId w:val="7"/>
        </w:num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 xml:space="preserve"> 实质上没有响应本文件要求的投标文件将被拒绝。供应商不得通过修正或撤销不合要求的偏离或保留从而使其投标文件成为实质上响应的文件。</w:t>
      </w:r>
    </w:p>
    <w:p w14:paraId="41CAC078">
      <w:pPr>
        <w:pStyle w:val="4"/>
        <w:spacing w:before="167" w:afterLines="0" w:line="360" w:lineRule="auto"/>
        <w:ind w:firstLine="0" w:firstLineChars="0"/>
        <w:jc w:val="center"/>
        <w:rPr>
          <w:rFonts w:ascii="宋体" w:hAnsi="宋体" w:eastAsia="宋体" w:cs="宋体"/>
          <w:color w:val="auto"/>
          <w:sz w:val="24"/>
          <w:szCs w:val="24"/>
          <w:highlight w:val="none"/>
        </w:rPr>
      </w:pPr>
      <w:bookmarkStart w:id="115" w:name="_Toc21366"/>
      <w:bookmarkStart w:id="116" w:name="_Toc356371438"/>
      <w:bookmarkStart w:id="117" w:name="_Toc359856804"/>
      <w:bookmarkStart w:id="118" w:name="_Toc13390"/>
      <w:bookmarkStart w:id="119" w:name="_Toc8456"/>
      <w:bookmarkStart w:id="120" w:name="_Toc3921"/>
      <w:bookmarkStart w:id="121" w:name="_Toc23119"/>
      <w:bookmarkStart w:id="122" w:name="_Toc22993"/>
      <w:bookmarkStart w:id="123" w:name="_Toc5226"/>
      <w:r>
        <w:rPr>
          <w:rFonts w:hint="eastAsia" w:ascii="宋体" w:hAnsi="宋体" w:eastAsia="宋体" w:cs="宋体"/>
          <w:color w:val="auto"/>
          <w:sz w:val="24"/>
          <w:szCs w:val="24"/>
          <w:highlight w:val="none"/>
        </w:rPr>
        <w:t>八、投标无效的情形</w:t>
      </w:r>
      <w:bookmarkEnd w:id="115"/>
      <w:bookmarkEnd w:id="116"/>
      <w:bookmarkEnd w:id="117"/>
      <w:bookmarkEnd w:id="118"/>
      <w:bookmarkEnd w:id="119"/>
      <w:bookmarkEnd w:id="120"/>
      <w:bookmarkEnd w:id="121"/>
      <w:bookmarkEnd w:id="122"/>
      <w:bookmarkEnd w:id="123"/>
    </w:p>
    <w:p w14:paraId="34C441FB">
      <w:pPr>
        <w:snapToGrid w:val="0"/>
        <w:spacing w:before="93" w:beforeLines="28" w:after="97" w:afterLines="29" w:line="360" w:lineRule="auto"/>
        <w:ind w:firstLine="480"/>
        <w:rPr>
          <w:rFonts w:ascii="宋体" w:hAnsi="宋体" w:eastAsia="宋体" w:cs="宋体"/>
          <w:color w:val="auto"/>
          <w:sz w:val="21"/>
          <w:szCs w:val="21"/>
          <w:highlight w:val="none"/>
        </w:rPr>
      </w:pPr>
      <w:bookmarkStart w:id="124" w:name="_Toc356371439"/>
      <w:r>
        <w:rPr>
          <w:rFonts w:hint="eastAsia" w:ascii="宋体" w:hAnsi="宋体" w:eastAsia="宋体" w:cs="宋体"/>
          <w:color w:val="auto"/>
          <w:sz w:val="21"/>
          <w:szCs w:val="21"/>
          <w:highlight w:val="none"/>
        </w:rPr>
        <w:t>28.见投标人须知前附表：</w:t>
      </w:r>
    </w:p>
    <w:p w14:paraId="1E47AA71">
      <w:pPr>
        <w:pStyle w:val="4"/>
        <w:spacing w:beforeLines="0" w:after="167" w:line="360" w:lineRule="auto"/>
        <w:ind w:firstLine="0" w:firstLineChars="0"/>
        <w:jc w:val="center"/>
        <w:rPr>
          <w:rFonts w:ascii="宋体" w:hAnsi="宋体" w:eastAsia="宋体" w:cs="宋体"/>
          <w:color w:val="auto"/>
          <w:sz w:val="24"/>
          <w:szCs w:val="24"/>
          <w:highlight w:val="none"/>
        </w:rPr>
      </w:pPr>
      <w:bookmarkStart w:id="125" w:name="_Toc359856805"/>
      <w:bookmarkStart w:id="126" w:name="_Toc7995"/>
      <w:bookmarkStart w:id="127" w:name="_Toc28492"/>
      <w:bookmarkStart w:id="128" w:name="_Toc3368"/>
      <w:bookmarkStart w:id="129" w:name="_Toc359592368"/>
      <w:bookmarkStart w:id="130" w:name="_Toc1219"/>
      <w:bookmarkStart w:id="131" w:name="_Toc32542"/>
      <w:bookmarkStart w:id="132" w:name="_Toc12143"/>
      <w:bookmarkStart w:id="133" w:name="_Toc3272"/>
      <w:r>
        <w:rPr>
          <w:rFonts w:hint="eastAsia" w:ascii="宋体" w:hAnsi="宋体" w:eastAsia="宋体" w:cs="宋体"/>
          <w:color w:val="auto"/>
          <w:sz w:val="24"/>
          <w:szCs w:val="24"/>
          <w:highlight w:val="none"/>
        </w:rPr>
        <w:t>九、废标的情形</w:t>
      </w:r>
      <w:bookmarkEnd w:id="125"/>
      <w:bookmarkEnd w:id="126"/>
      <w:bookmarkEnd w:id="127"/>
      <w:bookmarkEnd w:id="128"/>
      <w:bookmarkEnd w:id="129"/>
      <w:bookmarkEnd w:id="130"/>
      <w:bookmarkEnd w:id="131"/>
      <w:bookmarkEnd w:id="132"/>
      <w:bookmarkEnd w:id="133"/>
    </w:p>
    <w:p w14:paraId="16307B4E">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29.在采购采购中，出现下列情形之一的，应予废标：</w:t>
      </w:r>
    </w:p>
    <w:p w14:paraId="43B6DF3C">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29.1符合专业条件的投标人或者对采购文件作实质响应的投标人不足三家的；</w:t>
      </w:r>
    </w:p>
    <w:p w14:paraId="7DDACB13">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29.2出现影响采购公正的违法、违规行为的；</w:t>
      </w:r>
    </w:p>
    <w:p w14:paraId="3491F5C3">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29.3投标人的报价均超过了采购预算，采购人不能支付的；</w:t>
      </w:r>
    </w:p>
    <w:p w14:paraId="5746F80E">
      <w:pPr>
        <w:snapToGrid w:val="0"/>
        <w:spacing w:line="360" w:lineRule="auto"/>
        <w:ind w:left="478" w:leftChars="199"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29.4因重大变故，采购任务取消的。</w:t>
      </w:r>
    </w:p>
    <w:p w14:paraId="790E48FB">
      <w:pPr>
        <w:snapToGrid w:val="0"/>
        <w:spacing w:line="360" w:lineRule="auto"/>
        <w:ind w:firstLine="480"/>
        <w:rPr>
          <w:rFonts w:ascii="宋体" w:hAnsi="宋体" w:eastAsia="宋体" w:cs="宋体"/>
          <w:color w:val="auto"/>
          <w:sz w:val="21"/>
          <w:szCs w:val="21"/>
          <w:highlight w:val="none"/>
        </w:rPr>
      </w:pPr>
      <w:r>
        <w:rPr>
          <w:rFonts w:ascii="Arial" w:hAnsi="Arial" w:cs="Arial"/>
          <w:color w:val="auto"/>
          <w:sz w:val="21"/>
          <w:szCs w:val="21"/>
          <w:highlight w:val="none"/>
        </w:rPr>
        <w:t>　</w:t>
      </w:r>
      <w:r>
        <w:rPr>
          <w:rFonts w:hint="eastAsia" w:ascii="宋体" w:hAnsi="宋体" w:eastAsia="宋体" w:cs="宋体"/>
          <w:color w:val="auto"/>
          <w:sz w:val="21"/>
          <w:szCs w:val="21"/>
          <w:highlight w:val="none"/>
        </w:rPr>
        <w:t>　废标后，采购人应当将废标理由以书面或邮件形式通知所有投标人。</w:t>
      </w:r>
    </w:p>
    <w:p w14:paraId="0AB56F24">
      <w:pPr>
        <w:pStyle w:val="4"/>
        <w:spacing w:before="167" w:after="167" w:line="360" w:lineRule="auto"/>
        <w:ind w:firstLine="0" w:firstLineChars="0"/>
        <w:jc w:val="center"/>
        <w:rPr>
          <w:rFonts w:ascii="宋体" w:hAnsi="宋体" w:eastAsia="宋体" w:cs="宋体"/>
          <w:color w:val="auto"/>
          <w:sz w:val="24"/>
          <w:szCs w:val="24"/>
          <w:highlight w:val="none"/>
        </w:rPr>
      </w:pPr>
      <w:bookmarkStart w:id="134" w:name="_Toc22197"/>
      <w:bookmarkStart w:id="135" w:name="_Toc359856806"/>
      <w:bookmarkStart w:id="136" w:name="_Toc24990"/>
      <w:bookmarkStart w:id="137" w:name="_Toc6488"/>
      <w:bookmarkStart w:id="138" w:name="_Toc31697"/>
      <w:bookmarkStart w:id="139" w:name="_Toc27964"/>
      <w:bookmarkStart w:id="140" w:name="_Toc4520"/>
      <w:bookmarkStart w:id="141" w:name="_Toc25911"/>
      <w:r>
        <w:rPr>
          <w:rFonts w:hint="eastAsia" w:ascii="宋体" w:hAnsi="宋体" w:eastAsia="宋体" w:cs="宋体"/>
          <w:color w:val="auto"/>
          <w:sz w:val="24"/>
          <w:szCs w:val="24"/>
          <w:highlight w:val="none"/>
        </w:rPr>
        <w:t>十、开标</w:t>
      </w:r>
      <w:bookmarkEnd w:id="124"/>
      <w:r>
        <w:rPr>
          <w:rFonts w:hint="eastAsia" w:ascii="宋体" w:hAnsi="宋体" w:eastAsia="宋体" w:cs="宋体"/>
          <w:color w:val="auto"/>
          <w:sz w:val="24"/>
          <w:szCs w:val="24"/>
          <w:highlight w:val="none"/>
        </w:rPr>
        <w:t>和评标</w:t>
      </w:r>
      <w:bookmarkEnd w:id="134"/>
      <w:bookmarkEnd w:id="135"/>
      <w:bookmarkEnd w:id="136"/>
      <w:bookmarkEnd w:id="137"/>
      <w:bookmarkEnd w:id="138"/>
      <w:bookmarkEnd w:id="139"/>
      <w:bookmarkEnd w:id="140"/>
      <w:bookmarkEnd w:id="141"/>
    </w:p>
    <w:p w14:paraId="18CDF3BD">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30.开标</w:t>
      </w:r>
    </w:p>
    <w:p w14:paraId="4107D0F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30.1采购人在规定的日期、时间和地点组织招标会。</w:t>
      </w:r>
    </w:p>
    <w:p w14:paraId="0D80D43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30.2采购人按资格审查文件、资信技术文件、商务报价文件的顺序当众检验、拆封，先评资格审查文件、资信技术文件，若资格审查不通过，即终止其参与投标资格，商务报价文件不予拆封。</w:t>
      </w:r>
    </w:p>
    <w:p w14:paraId="43E42FF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30.3资格审查、资信评审通过后，开启商务报价文件。</w:t>
      </w:r>
    </w:p>
    <w:p w14:paraId="477DD3C8">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31.评标委员会</w:t>
      </w:r>
    </w:p>
    <w:p w14:paraId="0820A58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31.1本项目评标委员会由采购人依法组建，成员总数为</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人按龙游县国有企业采购相关机制确定。评标委员会对投标文件进行审查、询标、评议和推荐中标候选人。</w:t>
      </w:r>
    </w:p>
    <w:p w14:paraId="6146CDE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31.2在评标期间,若有需要投标人应派代表参加电话询标。</w:t>
      </w:r>
    </w:p>
    <w:p w14:paraId="37F871B7">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32.对投标文件的审查和响应性的确定</w:t>
      </w:r>
    </w:p>
    <w:p w14:paraId="7D53BE4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32.1评标委员会将审查投标文件是否真实、完整,总体编排是否有序,文件签署是否正确,有无计算上的错误等。</w:t>
      </w:r>
    </w:p>
    <w:p w14:paraId="20A4DFA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32.2算术错误将按以下方法更正: 开标时，投标文件中开标一览表（报价表）内容与投标文件中明细表内容不一致的，以开标一览表（报价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人不接受对其错误的更正，其投标将被拒绝。</w:t>
      </w:r>
    </w:p>
    <w:p w14:paraId="229FF970">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33.评标</w:t>
      </w:r>
    </w:p>
    <w:p w14:paraId="0B8DF210">
      <w:pPr>
        <w:snapToGrid w:val="0"/>
        <w:spacing w:line="360" w:lineRule="auto"/>
        <w:ind w:firstLine="480"/>
        <w:rPr>
          <w:rFonts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33.1评定原则：根据符合采购需求、质量和服务等要求，综合评分确定中标人。</w:t>
      </w:r>
    </w:p>
    <w:p w14:paraId="3C873FB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33.2投标文件的澄清：在评标期间, 评标委员会可要求投标人对其投标文件进行澄清,但不得寻求、提供或允许对投标价格等实质性内容做任何更改。有关澄清的要求和答复均应以电子书面形式提交。</w:t>
      </w:r>
    </w:p>
    <w:p w14:paraId="4A9FC8D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33.3评标报告：评标委员会完成评定后，向采购人提交经各评标委员会成员签字的评定结果报告，并按评定办法推荐一名中标候选人。</w:t>
      </w:r>
    </w:p>
    <w:p w14:paraId="05A96D9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33.4至投标截止时间投标人不足3家或通过资格审查或符合性审查的投标人不足3家的，除采购任务取消情形外，按照以下方式处理：</w:t>
      </w:r>
    </w:p>
    <w:p w14:paraId="6BB82E0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32.4.1采购文件存在不合理条款或者采购程序不符合规定的，采购人、采购代理机构改正后依法重新招标。</w:t>
      </w:r>
    </w:p>
    <w:p w14:paraId="177A14C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32.4.2采购文件没有不合理条款、采购程序符合规定，采购人可以采用其他采购方式或重新组织招标。</w:t>
      </w:r>
    </w:p>
    <w:p w14:paraId="5A73A2E7">
      <w:pPr>
        <w:snapToGrid w:val="0"/>
        <w:spacing w:line="360" w:lineRule="auto"/>
        <w:ind w:left="480" w:leftChars="200"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34.保密</w:t>
      </w:r>
    </w:p>
    <w:p w14:paraId="3CCCE166">
      <w:pPr>
        <w:snapToGrid w:val="0"/>
        <w:spacing w:line="360" w:lineRule="auto"/>
        <w:ind w:firstLine="480"/>
        <w:rPr>
          <w:rFonts w:ascii="宋体" w:hAnsi="宋体" w:eastAsia="宋体" w:cs="宋体"/>
          <w:color w:val="auto"/>
          <w:sz w:val="21"/>
          <w:szCs w:val="21"/>
          <w:highlight w:val="none"/>
        </w:rPr>
      </w:pPr>
      <w:bookmarkStart w:id="142" w:name="_Toc356371440"/>
      <w:r>
        <w:rPr>
          <w:rFonts w:hint="eastAsia" w:ascii="宋体" w:hAnsi="宋体" w:eastAsia="宋体" w:cs="宋体"/>
          <w:color w:val="auto"/>
          <w:sz w:val="21"/>
          <w:szCs w:val="21"/>
          <w:highlight w:val="none"/>
        </w:rPr>
        <w:t>34.1公开开标后直到宣布授予中标人合同为止,凡属于审查、澄清、评估和比较投标的有关资料且与授予合同有关的信息都不得向任何投标人或与上述评标过程无关的人员透露。</w:t>
      </w:r>
    </w:p>
    <w:p w14:paraId="38CD5250">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34.2投标人对评标、比较或授予合同决定的过程施加影响的企图和行为,都可能导致其投标被拒绝。</w:t>
      </w:r>
    </w:p>
    <w:p w14:paraId="6DAD5F46">
      <w:pPr>
        <w:snapToGrid w:val="0"/>
        <w:spacing w:line="360" w:lineRule="auto"/>
        <w:ind w:firstLine="482"/>
        <w:jc w:val="center"/>
        <w:rPr>
          <w:rFonts w:ascii="宋体" w:hAnsi="宋体" w:eastAsia="宋体" w:cs="宋体"/>
          <w:b/>
          <w:bCs/>
          <w:color w:val="auto"/>
          <w:kern w:val="0"/>
          <w:highlight w:val="none"/>
          <w:lang w:val="zh-CN"/>
        </w:rPr>
      </w:pPr>
      <w:bookmarkStart w:id="143" w:name="_Toc470431971"/>
      <w:bookmarkStart w:id="144" w:name="_Toc515876925"/>
    </w:p>
    <w:p w14:paraId="5CAB14A6">
      <w:pPr>
        <w:snapToGrid w:val="0"/>
        <w:spacing w:line="360" w:lineRule="auto"/>
        <w:ind w:firstLine="482"/>
        <w:jc w:val="center"/>
        <w:rPr>
          <w:rFonts w:ascii="宋体" w:hAnsi="宋体" w:eastAsia="宋体" w:cs="宋体"/>
          <w:b/>
          <w:bCs/>
          <w:color w:val="auto"/>
          <w:kern w:val="0"/>
          <w:highlight w:val="none"/>
          <w:lang w:val="zh-CN"/>
        </w:rPr>
      </w:pPr>
      <w:r>
        <w:rPr>
          <w:rFonts w:hint="eastAsia" w:ascii="宋体" w:hAnsi="宋体" w:eastAsia="宋体" w:cs="宋体"/>
          <w:b/>
          <w:bCs/>
          <w:color w:val="auto"/>
          <w:kern w:val="0"/>
          <w:highlight w:val="none"/>
          <w:lang w:val="zh-CN"/>
        </w:rPr>
        <w:t>十一、定标</w:t>
      </w:r>
      <w:bookmarkEnd w:id="143"/>
      <w:bookmarkEnd w:id="144"/>
    </w:p>
    <w:p w14:paraId="13672F01">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35依法确认采购结果</w:t>
      </w:r>
    </w:p>
    <w:p w14:paraId="108DBF0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35.1本项目由采购人根据评标委员会提交的《评审报告》依法确定中标人。</w:t>
      </w:r>
    </w:p>
    <w:p w14:paraId="46DEEDCB">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采购组织机构在评标结束后的2个工作日内将《评审报告》交给采购人确认。采购人将在收到评审报告后的5个工作日内确定中标成交投标人，</w:t>
      </w:r>
    </w:p>
    <w:p w14:paraId="347814C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定标由采购人负责，应坚持评审小组推荐的中标候选人为中标人。但如出现下列情形之一的，采购人可以直接确定备用中标候选人为中标人：（1）排名第一的候选投标人，因自身原因放弃中标成交或因不可抗力不能履行合同的；（2）经质疑，采购组织机构审查确认因排名第一的候选投标人在本次采购活动中存在违法违规行为或其他原因使质疑成立的。</w:t>
      </w:r>
    </w:p>
    <w:p w14:paraId="3810705B">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35.2、中标结果公告及中标通知书签发</w:t>
      </w:r>
    </w:p>
    <w:p w14:paraId="7F17658E">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35.2.1结果公告</w:t>
      </w:r>
    </w:p>
    <w:p w14:paraId="0D3F86AC">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结果经采购人确认后2个工作日内，采购代理机构将对外发布中标成交公告和中标通知书。采购代理机构按相关政府采购规定将中标结果发布在龙游县水务集团有限公司网站上进行公示，公示期为1个工作日。采购人、采购代理机构及评标委员会对未中标的投标人不作落标原因解释。</w:t>
      </w:r>
    </w:p>
    <w:p w14:paraId="706E6BFF">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35.3、采购过程、采购结果质疑</w:t>
      </w:r>
    </w:p>
    <w:p w14:paraId="6B251C4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35.3.1投标人认为采购过程、采购结果使自己的合法权益受到损害的，投标人可以提出书面质疑。</w:t>
      </w:r>
    </w:p>
    <w:p w14:paraId="0A1812B6">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35.3.2质疑书须包括以下内容：</w:t>
      </w:r>
    </w:p>
    <w:p w14:paraId="5BF68F0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（一）质疑人的名称、地址、邮政编码、联系人、联系电话，以及被质疑人名称及联系方式；</w:t>
      </w:r>
    </w:p>
    <w:p w14:paraId="749405BD">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（二）被质疑采购项目名称、编号及采购内容；</w:t>
      </w:r>
    </w:p>
    <w:p w14:paraId="4CF83A9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（三）具体的质疑事项及事实依据；</w:t>
      </w:r>
    </w:p>
    <w:p w14:paraId="58C2A7B5">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（四）认为自己合法权益受到损害或可能受到损害的相关证据材料；</w:t>
      </w:r>
    </w:p>
    <w:p w14:paraId="45B3FB88">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（五）提出质疑的日期。</w:t>
      </w:r>
    </w:p>
    <w:p w14:paraId="775A31DC">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35.3.3质疑期限自采购结果公告（包括公示、预公告、结果变更公告等）之日起计算，5个工作日内向采购代理机构提出。</w:t>
      </w:r>
    </w:p>
    <w:p w14:paraId="575CED6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35.3.4质疑书中涉及的相关材料中有外文资料的，应当将与质疑相关的外文资料完整、客观、真实地翻译为中文，并注明翻译人员姓名、工作单位、联系方式等信息。</w:t>
      </w:r>
    </w:p>
    <w:p w14:paraId="146712C3">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35.3.5质疑书必须署名，由法定代表人或主要负责人签字（或盖章）并加盖单位公章。</w:t>
      </w:r>
    </w:p>
    <w:p w14:paraId="5C6445B1">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35.3.6质疑书以直接提交、传真或邮寄方式提交（一式三份）。</w:t>
      </w:r>
    </w:p>
    <w:p w14:paraId="3C56529A">
      <w:pPr>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35.3.7质疑书以传真形式提交后，同时须向采购代理机构提交质疑书原件。</w:t>
      </w:r>
    </w:p>
    <w:p w14:paraId="1FF3A654">
      <w:pPr>
        <w:pStyle w:val="4"/>
        <w:spacing w:before="167" w:after="167" w:line="360" w:lineRule="auto"/>
        <w:ind w:firstLine="0" w:firstLineChars="0"/>
        <w:jc w:val="center"/>
        <w:rPr>
          <w:rFonts w:ascii="宋体" w:hAnsi="宋体" w:eastAsia="宋体" w:cs="宋体"/>
          <w:color w:val="auto"/>
          <w:sz w:val="24"/>
          <w:szCs w:val="24"/>
          <w:highlight w:val="none"/>
        </w:rPr>
      </w:pPr>
      <w:bookmarkStart w:id="145" w:name="_Toc11772"/>
      <w:bookmarkStart w:id="146" w:name="_Toc359856807"/>
      <w:bookmarkStart w:id="147" w:name="_Toc27998"/>
      <w:bookmarkStart w:id="148" w:name="_Toc15866"/>
      <w:bookmarkStart w:id="149" w:name="_Toc10773"/>
      <w:bookmarkStart w:id="150" w:name="_Toc7520"/>
      <w:bookmarkStart w:id="151" w:name="_Toc5119"/>
      <w:bookmarkStart w:id="152" w:name="_Toc22883"/>
      <w:r>
        <w:rPr>
          <w:rFonts w:hint="eastAsia" w:ascii="宋体" w:hAnsi="宋体" w:eastAsia="宋体" w:cs="宋体"/>
          <w:color w:val="auto"/>
          <w:sz w:val="24"/>
          <w:szCs w:val="24"/>
          <w:highlight w:val="none"/>
        </w:rPr>
        <w:t>十二、授予合同</w:t>
      </w:r>
      <w:bookmarkEnd w:id="142"/>
      <w:bookmarkEnd w:id="145"/>
      <w:bookmarkEnd w:id="146"/>
      <w:bookmarkEnd w:id="147"/>
      <w:bookmarkEnd w:id="148"/>
      <w:bookmarkEnd w:id="149"/>
      <w:bookmarkEnd w:id="150"/>
      <w:bookmarkEnd w:id="151"/>
      <w:bookmarkEnd w:id="152"/>
    </w:p>
    <w:p w14:paraId="5610AA09">
      <w:pPr>
        <w:pStyle w:val="19"/>
        <w:snapToGrid w:val="0"/>
        <w:spacing w:line="360" w:lineRule="auto"/>
        <w:ind w:firstLine="482"/>
        <w:rPr>
          <w:rFonts w:hAnsi="宋体"/>
          <w:b/>
          <w:bCs/>
          <w:color w:val="auto"/>
          <w:sz w:val="21"/>
          <w:szCs w:val="21"/>
          <w:highlight w:val="none"/>
        </w:rPr>
      </w:pPr>
      <w:r>
        <w:rPr>
          <w:rFonts w:hint="eastAsia" w:hAnsi="宋体"/>
          <w:b/>
          <w:bCs/>
          <w:color w:val="auto"/>
          <w:sz w:val="21"/>
          <w:szCs w:val="21"/>
          <w:highlight w:val="none"/>
        </w:rPr>
        <w:t>36、合同授予标准</w:t>
      </w:r>
    </w:p>
    <w:p w14:paraId="157C897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36.1成交候选供应商经查有违法违规现象的，采购人有权取消其成交候选资格，并可以直接推荐排名次之的候选单位为成交单位，或者重新组织采购。</w:t>
      </w:r>
    </w:p>
    <w:p w14:paraId="42DBBC3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36.2经采购人确认，确定成交人。成交结果在浙江龙游县水务集团有限公司网站予以公布，泰宇建筑工程技术咨询有限公司在五日内发出中标通知书。</w:t>
      </w:r>
    </w:p>
    <w:p w14:paraId="32CF7CB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36.3由采购人签发采购中标通知书。中标通知书对采购人和确认成交供应商均具有法律效力。中标通知书发出后，采购人改变成交结果的，或者成交人放弃成交项目的，应当依法承担法律责任。</w:t>
      </w:r>
    </w:p>
    <w:p w14:paraId="4263D37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36.4在中标通知书发出后七日内，成交人应按中标通知书指定的时间、地点与采购人签订合同。招标文件、成交人的投标文件及澄清文件等，均为签订合同的依据。</w:t>
      </w:r>
    </w:p>
    <w:p w14:paraId="467B430F">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36.5采购人与成交人签署合同协议，泰宇建筑工程技术咨询有限公司作为鉴证人共同签订（合同上请标明采购编号）。合同一式七份，采购人执二份、成交人执二份，泰宇建筑工程技术咨询有限公司及相关部门留存一份。</w:t>
      </w:r>
    </w:p>
    <w:p w14:paraId="7A8477A3">
      <w:pPr>
        <w:spacing w:line="360" w:lineRule="auto"/>
        <w:ind w:firstLine="482"/>
        <w:rPr>
          <w:rFonts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37、授予合同时变更数量的权利</w:t>
      </w:r>
    </w:p>
    <w:p w14:paraId="55F3C1B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采购合同履行中，采购人需追加与合同标的相同的货物、工程或者服务的，在不改变合同其他条款的前提下，可以与供应商签订补充合同，但所补充合同的采购金额不得超过原采购金额的10%。</w:t>
      </w:r>
    </w:p>
    <w:p w14:paraId="199AEEDA">
      <w:pPr>
        <w:spacing w:line="360" w:lineRule="auto"/>
        <w:ind w:firstLine="482"/>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38、履约保证金</w:t>
      </w:r>
    </w:p>
    <w:p w14:paraId="1A2DBCB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38.1中标人在收到中标通知书后签订合同前向采购人提供</w:t>
      </w:r>
      <w:r>
        <w:rPr>
          <w:rFonts w:hint="eastAsia" w:ascii="宋体" w:hAnsi="宋体" w:eastAsia="宋体" w:cs="宋体"/>
          <w:color w:val="auto"/>
          <w:sz w:val="21"/>
          <w:szCs w:val="21"/>
          <w:highlight w:val="none"/>
          <w:u w:val="single"/>
          <w:lang w:val="en-US" w:eastAsia="zh-CN"/>
        </w:rPr>
        <w:t xml:space="preserve">   /   </w:t>
      </w:r>
      <w:r>
        <w:rPr>
          <w:rFonts w:hint="eastAsia" w:ascii="宋体" w:hAnsi="宋体" w:eastAsia="宋体" w:cs="宋体"/>
          <w:color w:val="auto"/>
          <w:sz w:val="21"/>
          <w:szCs w:val="21"/>
          <w:highlight w:val="none"/>
        </w:rPr>
        <w:t>履约保证金。</w:t>
      </w:r>
    </w:p>
    <w:p w14:paraId="4756E774">
      <w:pPr>
        <w:spacing w:line="360" w:lineRule="auto"/>
        <w:ind w:firstLine="482"/>
        <w:rPr>
          <w:rFonts w:hAnsi="宋体"/>
          <w:b/>
          <w:bCs/>
          <w:color w:val="auto"/>
          <w:sz w:val="21"/>
          <w:szCs w:val="21"/>
          <w:highlight w:val="none"/>
        </w:rPr>
      </w:pPr>
      <w:bookmarkStart w:id="153" w:name="_Toc14144"/>
      <w:r>
        <w:rPr>
          <w:rFonts w:hint="eastAsia" w:hAnsi="宋体" w:cs="宋体"/>
          <w:b/>
          <w:bCs/>
          <w:color w:val="auto"/>
          <w:sz w:val="21"/>
          <w:szCs w:val="21"/>
          <w:highlight w:val="none"/>
        </w:rPr>
        <w:t>39、</w:t>
      </w:r>
      <w:r>
        <w:rPr>
          <w:rFonts w:hint="eastAsia" w:ascii="宋体" w:hAnsi="宋体" w:eastAsia="宋体" w:cs="宋体"/>
          <w:b/>
          <w:bCs/>
          <w:color w:val="auto"/>
          <w:sz w:val="21"/>
          <w:szCs w:val="21"/>
          <w:highlight w:val="none"/>
        </w:rPr>
        <w:t>付款方式</w:t>
      </w:r>
      <w:bookmarkEnd w:id="153"/>
    </w:p>
    <w:p w14:paraId="1553092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39.1 付款方式：详见合同条款。</w:t>
      </w:r>
    </w:p>
    <w:p w14:paraId="60C29BD1">
      <w:pPr>
        <w:pStyle w:val="4"/>
        <w:spacing w:before="167" w:after="167" w:line="360" w:lineRule="auto"/>
        <w:ind w:firstLine="0" w:firstLineChars="0"/>
        <w:jc w:val="center"/>
        <w:rPr>
          <w:rFonts w:ascii="宋体" w:hAnsi="宋体" w:eastAsia="宋体" w:cs="宋体"/>
          <w:color w:val="auto"/>
          <w:sz w:val="24"/>
          <w:szCs w:val="24"/>
          <w:highlight w:val="none"/>
        </w:rPr>
      </w:pPr>
      <w:bookmarkStart w:id="154" w:name="_Toc2171"/>
      <w:bookmarkStart w:id="155" w:name="_Toc13783"/>
      <w:bookmarkStart w:id="156" w:name="_Toc19022"/>
      <w:bookmarkStart w:id="157" w:name="_Toc6881"/>
      <w:bookmarkStart w:id="158" w:name="_Toc14365"/>
      <w:bookmarkStart w:id="159" w:name="_Toc356371441"/>
      <w:bookmarkStart w:id="160" w:name="_Toc7977"/>
      <w:bookmarkStart w:id="161" w:name="_Toc359856808"/>
      <w:bookmarkStart w:id="162" w:name="_Toc26870"/>
      <w:r>
        <w:rPr>
          <w:rFonts w:hint="eastAsia" w:ascii="宋体" w:hAnsi="宋体" w:eastAsia="宋体" w:cs="宋体"/>
          <w:color w:val="auto"/>
          <w:sz w:val="24"/>
          <w:szCs w:val="24"/>
          <w:highlight w:val="none"/>
        </w:rPr>
        <w:t>十三、法律责任</w:t>
      </w:r>
      <w:bookmarkEnd w:id="154"/>
      <w:bookmarkEnd w:id="155"/>
      <w:bookmarkEnd w:id="156"/>
      <w:bookmarkEnd w:id="157"/>
      <w:bookmarkEnd w:id="158"/>
      <w:bookmarkEnd w:id="159"/>
      <w:bookmarkEnd w:id="160"/>
      <w:bookmarkEnd w:id="161"/>
      <w:bookmarkEnd w:id="162"/>
    </w:p>
    <w:p w14:paraId="0741B92B">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投标人有下列情形之一的,处以政府采购项目中标金额千分之五以上千分之十以下的罚款,列入不良行为记录名单,在一至三年内禁止参加政府采购活动,并予以公告,有违法所得的,并处没收违法所得,情节严重的,由工商行政管理机关吊销营业执照;构成犯罪的,依法追究刑事责任:</w:t>
      </w:r>
    </w:p>
    <w:p w14:paraId="5437CEE0">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40.1提供虚假材料谋取中标的;</w:t>
      </w:r>
    </w:p>
    <w:p w14:paraId="6F52FF61">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40.2采取不正当手段诋毁、排挤其他投标人的;</w:t>
      </w:r>
    </w:p>
    <w:p w14:paraId="2CED7BAC">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40.3与采购人、采购代理机构、其他投标人恶意串通的;</w:t>
      </w:r>
    </w:p>
    <w:p w14:paraId="38B21D9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40.4向采购人、采购代理机构行贿或者提供其他不正当利益的;</w:t>
      </w:r>
    </w:p>
    <w:p w14:paraId="2C662F9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40.5在招标过程中与采购人进行协商谈判、不按照招标文件和中标人的投标文件订立合同,或者与采购人另行订立背离合同实质性内容的协议的;</w:t>
      </w:r>
    </w:p>
    <w:p w14:paraId="2D4BB678">
      <w:pPr>
        <w:spacing w:after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40.6拒绝有关部门监督检查或者提供虚假情况的；</w:t>
      </w:r>
    </w:p>
    <w:p w14:paraId="708B6EF9">
      <w:pPr>
        <w:adjustRightInd w:val="0"/>
        <w:snapToGrid w:val="0"/>
        <w:spacing w:before="88" w:beforeLines="26" w:beforeAutospacing="0" w:afterAutospacing="0" w:line="360" w:lineRule="auto"/>
        <w:ind w:firstLine="482"/>
        <w:jc w:val="center"/>
        <w:rPr>
          <w:rFonts w:ascii="宋体" w:hAnsi="宋体" w:eastAsia="宋体" w:cs="宋体"/>
          <w:b/>
          <w:color w:val="auto"/>
          <w:highlight w:val="none"/>
        </w:rPr>
      </w:pPr>
      <w:bookmarkStart w:id="163" w:name="_Toc29923"/>
      <w:bookmarkStart w:id="164" w:name="_Toc356371442"/>
      <w:bookmarkStart w:id="165" w:name="_Toc28443"/>
      <w:bookmarkStart w:id="166" w:name="_Toc28634"/>
      <w:bookmarkStart w:id="167" w:name="_Toc20799"/>
      <w:bookmarkStart w:id="168" w:name="_Toc359856809"/>
      <w:bookmarkStart w:id="169" w:name="_Toc7500"/>
      <w:bookmarkStart w:id="170" w:name="_Toc31059"/>
      <w:r>
        <w:rPr>
          <w:rFonts w:hint="eastAsia" w:ascii="宋体" w:hAnsi="宋体" w:eastAsia="宋体" w:cs="宋体"/>
          <w:b/>
          <w:color w:val="auto"/>
          <w:highlight w:val="none"/>
        </w:rPr>
        <w:t>十四、项目需要落实的政府采购政策</w:t>
      </w:r>
    </w:p>
    <w:p w14:paraId="400A1B1F">
      <w:pPr>
        <w:adjustRightInd w:val="0"/>
        <w:snapToGrid w:val="0"/>
        <w:spacing w:before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41、中小企业参与政府采购活动</w:t>
      </w:r>
    </w:p>
    <w:p w14:paraId="13238379">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根据《中小企业划型标准规定》（工信部联企业[2011]300号）、《政府采购促进中小企业发展管理办法》（财库[2020]46号，以下简称《办法》）、</w:t>
      </w:r>
      <w:r>
        <w:rPr>
          <w:rFonts w:ascii="宋体" w:hAnsi="宋体" w:eastAsia="宋体" w:cs="宋体"/>
          <w:color w:val="auto"/>
          <w:sz w:val="21"/>
          <w:szCs w:val="21"/>
          <w:highlight w:val="none"/>
        </w:rPr>
        <w:t>《浙江省财政厅关于进一步发挥政府采购政策功能全力推动经济稳进提质的通知》 （浙财采监（2022）3号）、《浙江省财政厅关于进一步促进政府采购公平竞争打造最优营商环境的通知》（浙财采监（2021）22号）</w:t>
      </w:r>
      <w:r>
        <w:rPr>
          <w:rFonts w:hint="eastAsia" w:ascii="宋体" w:hAnsi="宋体" w:eastAsia="宋体" w:cs="宋体"/>
          <w:color w:val="auto"/>
          <w:sz w:val="21"/>
          <w:szCs w:val="21"/>
          <w:highlight w:val="none"/>
        </w:rPr>
        <w:t>的有关规定，《办法》所称中小企业（含中型、小型、微型企业，下同）应当同时符合以下条件。</w:t>
      </w:r>
    </w:p>
    <w:p w14:paraId="7D9C2C7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41.1.符合中小企业划分标准；</w:t>
      </w:r>
    </w:p>
    <w:p w14:paraId="61A399C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（一）在货物采购项目中，货物由中小企业制造，即货物由中小企业生产且使用该中小企业商号或者注册商标；</w:t>
      </w:r>
    </w:p>
    <w:p w14:paraId="28359CCE">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（二）在工程采购项目中，工程由中小企业承建，即工程施工单位为中小企业；</w:t>
      </w:r>
    </w:p>
    <w:p w14:paraId="7F4E55F9">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（三）在服务采购项目中，服务由中小企业承接，即提供服务的人员为中小企业依照《民法典》订立劳动合同的从业人员。</w:t>
      </w:r>
    </w:p>
    <w:p w14:paraId="1FAFE38C">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在货物采购项目中，供应商提供的货物既有中小企业制造货物，也有大型企业制造货物的，不享受本办法规定的中小企业扶持政策。</w:t>
      </w:r>
    </w:p>
    <w:p w14:paraId="6C06D0D1">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以联合体形式参加政府采购活动，联合体各方均为中小企业的，联合体视同中小企业。其中，联合体各方均为小微企业的，联合体视同小微企业。</w:t>
      </w:r>
    </w:p>
    <w:p w14:paraId="1A6551CD">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41.1.1所投所有产品的制造商如为中小企业，参加询价响应时，在响应文件中响应方应提供制造商的《中小企业声明函》。</w:t>
      </w:r>
    </w:p>
    <w:p w14:paraId="7B941F8A">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41.1.2特别说明：本款适用于所投的所有产品的制造商均为中小企业（所投产品中有大型企业提供的不适用于本款）。响应方在《《中小企业声明函》（统一格式）详细、完整填写，否则将不能享受商务报价里中小企业产品优惠政策。</w:t>
      </w:r>
    </w:p>
    <w:p w14:paraId="4FAD076F">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41.2监狱企业参与政府采购活动</w:t>
      </w:r>
    </w:p>
    <w:p w14:paraId="49D10A90">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符合财政部 司法部《关于政府采购支持监狱企业发展有关问题的通知》（财库〔2014〕68号）规定。</w:t>
      </w:r>
    </w:p>
    <w:p w14:paraId="3B8C7E15">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14:paraId="11677E48">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41.3残疾人福利性单位参与政府采购活动</w:t>
      </w:r>
    </w:p>
    <w:p w14:paraId="709FB531">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符合财政部 民政部 中国残疾人联合会《关于促进残疾人就业政府采购政策的通知》（财库〔2017〕141号）规定的单位。</w:t>
      </w:r>
    </w:p>
    <w:p w14:paraId="2377C966">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享受政府采购支持政策的残疾人福利性单位应当同时满足以下条件： </w:t>
      </w:r>
    </w:p>
    <w:p w14:paraId="4ECFF9D8">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（一）安置的残疾人占本单位在职职工人数的比例不低于25%（含25%），并且安置的残疾人人数不少于10人（含10人）； </w:t>
      </w:r>
    </w:p>
    <w:p w14:paraId="4FAEFCEC">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（二）依法与安置的每位残疾人签订了一年以上（含一年）的劳动合同或服务协议； </w:t>
      </w:r>
    </w:p>
    <w:p w14:paraId="51C3DC53">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（三）为安置的每位残疾人按月足额缴纳了基本养老保险、基本医疗保险、失业保险、工伤保险和生育保险等社会保险费；</w:t>
      </w:r>
    </w:p>
    <w:p w14:paraId="67C791B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（四）通过银行等金融机构向安置的每位残疾人，按月支付了不低于单位所在区县适用的经省级人民政府批准的月最低工资标准的工资；</w:t>
      </w:r>
    </w:p>
    <w:p w14:paraId="0206E17E">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（五）提供本单位制造的货物、承担的工程或者服务（以下简称产品），或者提供其他残疾人福利性单位制造的货物（不包括使用非残疾人福利性单位注册商标的货物）。</w:t>
      </w:r>
    </w:p>
    <w:p w14:paraId="4C3709A7">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残疾人福利性单位属于中小型企业的，不重复享受政策。供应商提供的《残疾人福利性单位声明函》与事实不符的，依照《政府采购法》第七十七条第一款的规定追究法律责任。</w:t>
      </w:r>
    </w:p>
    <w:p w14:paraId="1B43832B">
      <w:pPr>
        <w:adjustRightInd w:val="0"/>
        <w:snapToGrid w:val="0"/>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成交供应商为残疾人福利性单位的，应当随成交结果同时公告其《残疾人福利性单位声明函》，接受社会监督。</w:t>
      </w:r>
    </w:p>
    <w:p w14:paraId="55460CD0">
      <w:pPr>
        <w:adjustRightInd w:val="0"/>
        <w:snapToGrid w:val="0"/>
        <w:spacing w:afterAutospacing="0"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41.4说明：</w:t>
      </w:r>
      <w:r>
        <w:rPr>
          <w:rFonts w:hint="eastAsia" w:ascii="宋体" w:hAnsi="宋体" w:eastAsia="宋体" w:cs="宋体"/>
          <w:color w:val="auto"/>
          <w:sz w:val="21"/>
          <w:szCs w:val="21"/>
          <w:highlight w:val="none"/>
          <w:lang w:val="en-US" w:eastAsia="zh-CN"/>
        </w:rPr>
        <w:t>货物</w:t>
      </w:r>
      <w:r>
        <w:rPr>
          <w:rFonts w:hint="eastAsia" w:ascii="宋体" w:hAnsi="宋体" w:eastAsia="宋体" w:cs="宋体"/>
          <w:color w:val="auto"/>
          <w:sz w:val="21"/>
          <w:szCs w:val="21"/>
          <w:highlight w:val="none"/>
        </w:rPr>
        <w:t>务由中小企业或残疾人福利性单位或监狱企业</w:t>
      </w:r>
      <w:r>
        <w:rPr>
          <w:rFonts w:hint="eastAsia" w:ascii="宋体" w:hAnsi="宋体" w:eastAsia="宋体" w:cs="宋体"/>
          <w:color w:val="auto"/>
          <w:sz w:val="21"/>
          <w:szCs w:val="21"/>
          <w:highlight w:val="none"/>
          <w:lang w:val="en-US" w:eastAsia="zh-CN"/>
        </w:rPr>
        <w:t>制造</w:t>
      </w:r>
      <w:r>
        <w:rPr>
          <w:rFonts w:hint="eastAsia" w:ascii="宋体" w:hAnsi="宋体" w:eastAsia="宋体" w:cs="宋体"/>
          <w:color w:val="auto"/>
          <w:sz w:val="21"/>
          <w:szCs w:val="21"/>
          <w:highlight w:val="none"/>
        </w:rPr>
        <w:t>的响应报价扣减10%后再计入报价得分的评审（不累计扣减）。</w:t>
      </w:r>
    </w:p>
    <w:p w14:paraId="56A4456E">
      <w:pPr>
        <w:adjustRightInd w:val="0"/>
        <w:snapToGrid w:val="0"/>
        <w:spacing w:before="73" w:beforeLines="21" w:beforeAutospacing="0" w:afterAutospacing="0" w:line="360" w:lineRule="auto"/>
        <w:ind w:firstLine="482"/>
        <w:jc w:val="center"/>
        <w:rPr>
          <w:rFonts w:hint="eastAsia" w:ascii="宋体" w:hAnsi="宋体" w:eastAsia="宋体" w:cs="宋体"/>
          <w:b/>
          <w:color w:val="auto"/>
          <w:highlight w:val="none"/>
        </w:rPr>
      </w:pPr>
      <w:bookmarkStart w:id="171" w:name="_Toc27913"/>
      <w:bookmarkStart w:id="172" w:name="_Toc10820"/>
      <w:bookmarkStart w:id="173" w:name="_Toc2365"/>
      <w:bookmarkStart w:id="174" w:name="_Toc13193"/>
      <w:bookmarkStart w:id="175" w:name="_Toc1963"/>
      <w:bookmarkStart w:id="176" w:name="_Toc11406"/>
      <w:bookmarkStart w:id="177" w:name="_Toc31400"/>
      <w:bookmarkStart w:id="178" w:name="_Toc25922"/>
      <w:bookmarkStart w:id="179" w:name="_Toc23725"/>
      <w:bookmarkStart w:id="180" w:name="_Toc14357"/>
      <w:bookmarkStart w:id="181" w:name="_Toc30402"/>
      <w:bookmarkStart w:id="182" w:name="_Toc4552"/>
      <w:r>
        <w:rPr>
          <w:rFonts w:hint="eastAsia" w:ascii="宋体" w:hAnsi="宋体" w:eastAsia="宋体" w:cs="宋体"/>
          <w:b/>
          <w:color w:val="auto"/>
          <w:highlight w:val="none"/>
        </w:rPr>
        <w:t>十</w:t>
      </w:r>
      <w:r>
        <w:rPr>
          <w:rFonts w:hint="eastAsia" w:ascii="宋体" w:hAnsi="宋体" w:eastAsia="宋体" w:cs="宋体"/>
          <w:b/>
          <w:color w:val="auto"/>
          <w:highlight w:val="none"/>
          <w:lang w:val="en-US" w:eastAsia="zh-CN"/>
        </w:rPr>
        <w:t>五</w:t>
      </w:r>
      <w:r>
        <w:rPr>
          <w:rFonts w:hint="eastAsia" w:ascii="宋体" w:hAnsi="宋体" w:eastAsia="宋体" w:cs="宋体"/>
          <w:b/>
          <w:color w:val="auto"/>
          <w:highlight w:val="none"/>
        </w:rPr>
        <w:t>、诚信管理</w:t>
      </w:r>
      <w:bookmarkEnd w:id="171"/>
      <w:bookmarkEnd w:id="172"/>
      <w:bookmarkEnd w:id="173"/>
      <w:bookmarkEnd w:id="174"/>
      <w:bookmarkEnd w:id="175"/>
      <w:bookmarkEnd w:id="176"/>
      <w:bookmarkEnd w:id="177"/>
      <w:bookmarkEnd w:id="178"/>
      <w:bookmarkEnd w:id="179"/>
      <w:bookmarkEnd w:id="180"/>
      <w:bookmarkEnd w:id="181"/>
      <w:bookmarkEnd w:id="182"/>
    </w:p>
    <w:p w14:paraId="1985E59A">
      <w:pPr>
        <w:adjustRightInd w:val="0"/>
        <w:snapToGrid w:val="0"/>
        <w:spacing w:beforeAutospacing="0"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42.</w:t>
      </w:r>
      <w:r>
        <w:rPr>
          <w:rFonts w:hint="eastAsia" w:ascii="宋体" w:hAnsi="宋体" w:eastAsia="宋体" w:cs="宋体"/>
          <w:color w:val="auto"/>
          <w:sz w:val="21"/>
          <w:szCs w:val="21"/>
          <w:highlight w:val="none"/>
        </w:rPr>
        <w:t>投标人有下列情形之一的，依据《关于印发浙江省政府投标人注册及诚信管理暂行办法通知》[浙财采监字〔2009〕28号]文件第三十八条和第三十九条的规定记录不良行为、黑名单及处罚。</w:t>
      </w:r>
    </w:p>
    <w:p w14:paraId="51F4E7E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42.1</w:t>
      </w:r>
      <w:r>
        <w:rPr>
          <w:rFonts w:hint="eastAsia" w:ascii="宋体" w:hAnsi="宋体" w:eastAsia="宋体" w:cs="宋体"/>
          <w:color w:val="auto"/>
          <w:sz w:val="21"/>
          <w:szCs w:val="21"/>
          <w:highlight w:val="none"/>
        </w:rPr>
        <w:t>注册投标人有下列情形之一的，采购人或采购代理机构应按不良行为记入该注册投标人诚信档案中：</w:t>
      </w:r>
    </w:p>
    <w:p w14:paraId="72AAD37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（一）开标后擅自撤回采购投标文件，影响采购活动继续进行的；</w:t>
      </w:r>
    </w:p>
    <w:p w14:paraId="064A4D8E">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（二）中标、成交后无正当理由拒绝签订国企采购合同，或者与采购人另行订立背离合同实质内容的协议的；</w:t>
      </w:r>
    </w:p>
    <w:p w14:paraId="0B4B4D6E">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（三）无正当理由拒绝履行合同和有关承诺，或擅自变更、中止（终止）国企采购合同的；</w:t>
      </w:r>
    </w:p>
    <w:p w14:paraId="440A363B">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（四）超过合同约定的供货（或服务）时间达10日以上的；</w:t>
      </w:r>
    </w:p>
    <w:p w14:paraId="4F8ACA83">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（五）中标、成交后，将国企采购合同转包或擅自分包给其他投标人的；</w:t>
      </w:r>
    </w:p>
    <w:p w14:paraId="1FA66E2F">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（六）提供假冒伪劣产品或走私物品的；</w:t>
      </w:r>
    </w:p>
    <w:p w14:paraId="28EE7442">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（七）擅自降低产品质量等次和售后服务，或以次充好、偷工减料的；</w:t>
      </w:r>
    </w:p>
    <w:p w14:paraId="59BCE3C8">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（八）实际提供的有关产品性能指标和技术服务能力明显低于采购响应文件或询标、谈判时的承诺；</w:t>
      </w:r>
    </w:p>
    <w:p w14:paraId="6E67F73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（九）在投标人库中发布的产品服务信息或在政府采购网上宣传的信息与实际明显不符，或故意误导采购人的；</w:t>
      </w:r>
    </w:p>
    <w:p w14:paraId="1855FF7A">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（十）不按规定或不及时变更投标人库中的有关信息的；</w:t>
      </w:r>
    </w:p>
    <w:p w14:paraId="34038194">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（十一）1年内在全省被质疑或投诉累计分别在20和10次以上且60%以上被驳回的，或恶意举报给采购人或采购代理机构造成损害的；</w:t>
      </w:r>
    </w:p>
    <w:p w14:paraId="1B151BF6">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（十二）各级财政部门认定的其它有违诚实信用的行为。</w:t>
      </w:r>
    </w:p>
    <w:p w14:paraId="5F40F4D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42.2</w:t>
      </w:r>
      <w:r>
        <w:rPr>
          <w:rFonts w:hint="eastAsia" w:ascii="宋体" w:hAnsi="宋体" w:eastAsia="宋体" w:cs="宋体"/>
          <w:color w:val="auto"/>
          <w:sz w:val="21"/>
          <w:szCs w:val="21"/>
          <w:highlight w:val="none"/>
        </w:rPr>
        <w:t>注册投标人有下列情形之一的，采购人或采购代理机构应向同级主管部门书面报告，并提请主管部门将其列入“黑名单”或者依法作出处罚；各级主管部门在依法处罚的同时，应将该情况按不良行为记入该投标人诚信档案中，同时将该投标人列入“黑名单”公开曝光：</w:t>
      </w:r>
    </w:p>
    <w:p w14:paraId="6EFED7F7">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（一）提供虚假材料谋取中标、成交的；</w:t>
      </w:r>
    </w:p>
    <w:p w14:paraId="2413DE89">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（二）采取不正当手段诋毁、排挤其他投标人的；</w:t>
      </w:r>
    </w:p>
    <w:p w14:paraId="5F038520">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（三）与采购人、其他投标人或者采购代理机构恶意串通的；</w:t>
      </w:r>
    </w:p>
    <w:p w14:paraId="2B4D6CAA">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（四）向采购人、采购代理机构行贿或提供其他不正当利益，或因此被其他国家机关立案查实的；</w:t>
      </w:r>
    </w:p>
    <w:p w14:paraId="48239F8B">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（五）在招标采购过程中与采购人进行协商谈判的；</w:t>
      </w:r>
    </w:p>
    <w:p w14:paraId="5D81AA0D">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（六）哄抬、操纵国企采购报价，或国企采购价格（包括产品及其配件、试剂、耗材等价格）明显高于市场平均价的；</w:t>
      </w:r>
    </w:p>
    <w:p w14:paraId="7121E71C">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（七）提供虚假材料骗取注册投标人资格的；</w:t>
      </w:r>
    </w:p>
    <w:p w14:paraId="61DCE4AF">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（八）伪造《浙江省政府采购注册投标人信息登记表》的；</w:t>
      </w:r>
    </w:p>
    <w:p w14:paraId="24CEEB8D">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（九）销售或发布法律、法规禁止销售的商品、服务和其他违法信息的；</w:t>
      </w:r>
    </w:p>
    <w:p w14:paraId="42AE2EA0">
      <w:pPr>
        <w:adjustRightInd w:val="0"/>
        <w:snapToGrid w:val="0"/>
        <w:spacing w:line="360" w:lineRule="auto"/>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（十）其它违反法律、法规和政府采购管理有关规定的行为的。</w:t>
      </w:r>
    </w:p>
    <w:p w14:paraId="1FBC01E6">
      <w:pPr>
        <w:rPr>
          <w:rFonts w:hint="eastAsia"/>
          <w:color w:val="auto"/>
          <w:highlight w:val="none"/>
        </w:rPr>
      </w:pPr>
      <w:r>
        <w:rPr>
          <w:rFonts w:hint="eastAsia" w:ascii="宋体" w:hAnsi="宋体" w:eastAsia="宋体" w:cs="宋体"/>
          <w:color w:val="auto"/>
          <w:sz w:val="21"/>
          <w:szCs w:val="21"/>
          <w:highlight w:val="none"/>
        </w:rPr>
        <w:br w:type="page"/>
      </w:r>
    </w:p>
    <w:bookmarkEnd w:id="163"/>
    <w:bookmarkEnd w:id="164"/>
    <w:bookmarkEnd w:id="165"/>
    <w:bookmarkEnd w:id="166"/>
    <w:bookmarkEnd w:id="167"/>
    <w:bookmarkEnd w:id="168"/>
    <w:bookmarkEnd w:id="169"/>
    <w:bookmarkEnd w:id="170"/>
    <w:p w14:paraId="4C4BB547">
      <w:pPr>
        <w:pStyle w:val="3"/>
        <w:numPr>
          <w:ilvl w:val="0"/>
          <w:numId w:val="8"/>
        </w:numPr>
        <w:spacing w:before="95" w:after="167"/>
        <w:rPr>
          <w:rFonts w:ascii="宋体" w:hAnsi="宋体" w:eastAsia="宋体" w:cs="宋体"/>
          <w:color w:val="auto"/>
          <w:sz w:val="36"/>
          <w:szCs w:val="36"/>
          <w:highlight w:val="none"/>
        </w:rPr>
      </w:pPr>
      <w:bookmarkStart w:id="183" w:name="_Toc853"/>
      <w:bookmarkStart w:id="184" w:name="_Toc4130"/>
      <w:bookmarkStart w:id="185" w:name="_Toc11381"/>
      <w:bookmarkStart w:id="186" w:name="_Toc359856810"/>
      <w:bookmarkStart w:id="187" w:name="_Toc31279"/>
      <w:bookmarkStart w:id="188" w:name="_Toc13314"/>
      <w:bookmarkStart w:id="189" w:name="_Toc19002"/>
      <w:bookmarkStart w:id="190" w:name="_Toc322352983"/>
      <w:bookmarkStart w:id="191" w:name="_Toc354401531"/>
      <w:bookmarkStart w:id="192" w:name="_Toc350256314"/>
      <w:r>
        <w:rPr>
          <w:rFonts w:hint="eastAsia" w:ascii="宋体" w:hAnsi="宋体" w:eastAsia="宋体" w:cs="宋体"/>
          <w:color w:val="auto"/>
          <w:sz w:val="36"/>
          <w:szCs w:val="36"/>
          <w:highlight w:val="none"/>
        </w:rPr>
        <w:t xml:space="preserve"> </w:t>
      </w:r>
      <w:bookmarkStart w:id="193" w:name="_Toc5495"/>
      <w:bookmarkStart w:id="194" w:name="_Toc24049"/>
      <w:r>
        <w:rPr>
          <w:rFonts w:hint="eastAsia" w:ascii="宋体" w:hAnsi="宋体" w:eastAsia="宋体" w:cs="宋体"/>
          <w:color w:val="auto"/>
          <w:sz w:val="36"/>
          <w:szCs w:val="36"/>
          <w:highlight w:val="none"/>
        </w:rPr>
        <w:t>采购内容及要求</w:t>
      </w:r>
      <w:bookmarkEnd w:id="183"/>
      <w:bookmarkEnd w:id="184"/>
      <w:bookmarkEnd w:id="185"/>
      <w:bookmarkEnd w:id="186"/>
      <w:bookmarkEnd w:id="187"/>
      <w:bookmarkEnd w:id="188"/>
      <w:bookmarkEnd w:id="189"/>
      <w:bookmarkEnd w:id="190"/>
      <w:bookmarkEnd w:id="191"/>
      <w:bookmarkEnd w:id="192"/>
      <w:bookmarkEnd w:id="193"/>
      <w:bookmarkEnd w:id="194"/>
    </w:p>
    <w:p w14:paraId="072CF297">
      <w:pPr>
        <w:snapToGrid w:val="0"/>
        <w:spacing w:line="360" w:lineRule="auto"/>
        <w:rPr>
          <w:rFonts w:hint="eastAsia"/>
          <w:b/>
          <w:bCs/>
          <w:color w:val="auto"/>
          <w:sz w:val="28"/>
          <w:szCs w:val="28"/>
          <w:highlight w:val="none"/>
        </w:rPr>
      </w:pPr>
      <w:bookmarkStart w:id="195" w:name="_Toc350256315"/>
      <w:bookmarkStart w:id="196" w:name="_Toc23468"/>
      <w:bookmarkStart w:id="197" w:name="_Toc23045"/>
      <w:bookmarkStart w:id="198" w:name="_Toc23761"/>
      <w:bookmarkStart w:id="199" w:name="_Toc359856816"/>
      <w:bookmarkStart w:id="200" w:name="_Toc3640"/>
      <w:bookmarkStart w:id="201" w:name="_Toc19570"/>
      <w:bookmarkStart w:id="202" w:name="_Toc1657"/>
      <w:bookmarkStart w:id="203" w:name="_Toc354401534"/>
      <w:bookmarkStart w:id="204" w:name="_Toc14479"/>
      <w:bookmarkStart w:id="205" w:name="_Toc322352984"/>
      <w:r>
        <w:rPr>
          <w:rFonts w:hint="eastAsia"/>
          <w:b/>
          <w:bCs/>
          <w:color w:val="auto"/>
          <w:sz w:val="28"/>
          <w:szCs w:val="28"/>
          <w:highlight w:val="none"/>
          <w:lang w:val="en-US" w:eastAsia="zh-CN"/>
        </w:rPr>
        <w:t>一、</w:t>
      </w:r>
      <w:r>
        <w:rPr>
          <w:rFonts w:hint="eastAsia"/>
          <w:b/>
          <w:bCs/>
          <w:color w:val="auto"/>
          <w:sz w:val="28"/>
          <w:szCs w:val="28"/>
          <w:highlight w:val="none"/>
          <w:lang w:eastAsia="zh-CN"/>
        </w:rPr>
        <w:t>劳务承包基本情况</w:t>
      </w:r>
      <w:r>
        <w:rPr>
          <w:rFonts w:hint="eastAsia"/>
          <w:b/>
          <w:bCs/>
          <w:color w:val="auto"/>
          <w:sz w:val="28"/>
          <w:szCs w:val="28"/>
          <w:highlight w:val="none"/>
        </w:rPr>
        <w:t>：</w:t>
      </w:r>
    </w:p>
    <w:tbl>
      <w:tblPr>
        <w:tblStyle w:val="37"/>
        <w:tblW w:w="5057" w:type="pct"/>
        <w:tblInd w:w="0" w:type="dxa"/>
        <w:tblLayout w:type="autofit"/>
        <w:tblCellMar>
          <w:top w:w="0" w:type="dxa"/>
          <w:left w:w="0" w:type="dxa"/>
          <w:bottom w:w="0" w:type="dxa"/>
          <w:right w:w="0" w:type="dxa"/>
        </w:tblCellMar>
      </w:tblPr>
      <w:tblGrid>
        <w:gridCol w:w="1213"/>
        <w:gridCol w:w="3353"/>
        <w:gridCol w:w="3083"/>
        <w:gridCol w:w="1785"/>
      </w:tblGrid>
      <w:tr w14:paraId="352B7B01">
        <w:tblPrEx>
          <w:tblCellMar>
            <w:top w:w="0" w:type="dxa"/>
            <w:left w:w="0" w:type="dxa"/>
            <w:bottom w:w="0" w:type="dxa"/>
            <w:right w:w="0" w:type="dxa"/>
          </w:tblCellMar>
        </w:tblPrEx>
        <w:trPr>
          <w:trHeight w:val="366" w:hRule="atLeast"/>
        </w:trPr>
        <w:tc>
          <w:tcPr>
            <w:tcW w:w="64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463F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序号</w:t>
            </w:r>
          </w:p>
        </w:tc>
        <w:tc>
          <w:tcPr>
            <w:tcW w:w="177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86C0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单位</w:t>
            </w:r>
          </w:p>
        </w:tc>
        <w:tc>
          <w:tcPr>
            <w:tcW w:w="163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CA46A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cs="宋体"/>
                <w:i w:val="0"/>
                <w:snapToGrid w:val="0"/>
                <w:color w:val="auto"/>
                <w:kern w:val="0"/>
                <w:sz w:val="24"/>
                <w:szCs w:val="24"/>
                <w:highlight w:val="none"/>
                <w:u w:val="none"/>
                <w:lang w:val="en-US" w:eastAsia="zh-CN" w:bidi="ar"/>
              </w:rPr>
              <w:t>职位</w:t>
            </w:r>
          </w:p>
        </w:tc>
        <w:tc>
          <w:tcPr>
            <w:tcW w:w="94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631E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数量</w:t>
            </w:r>
          </w:p>
        </w:tc>
      </w:tr>
      <w:tr w14:paraId="13E52812">
        <w:tblPrEx>
          <w:tblCellMar>
            <w:top w:w="0" w:type="dxa"/>
            <w:left w:w="0" w:type="dxa"/>
            <w:bottom w:w="0" w:type="dxa"/>
            <w:right w:w="0" w:type="dxa"/>
          </w:tblCellMar>
        </w:tblPrEx>
        <w:trPr>
          <w:trHeight w:val="366" w:hRule="atLeast"/>
        </w:trPr>
        <w:tc>
          <w:tcPr>
            <w:tcW w:w="64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973EC1">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177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DF118F">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163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4B8C9E">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c>
          <w:tcPr>
            <w:tcW w:w="94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2F3658">
            <w:pPr>
              <w:keepNext w:val="0"/>
              <w:keepLines w:val="0"/>
              <w:pageBreakBefore w:val="0"/>
              <w:kinsoku/>
              <w:wordWrap/>
              <w:overflowPunct/>
              <w:topLinePunct w:val="0"/>
              <w:autoSpaceDE/>
              <w:autoSpaceDN/>
              <w:bidi w:val="0"/>
              <w:adjustRightInd/>
              <w:snapToGrid/>
              <w:ind w:firstLine="0" w:firstLineChars="0"/>
              <w:jc w:val="center"/>
              <w:rPr>
                <w:rFonts w:hint="eastAsia" w:ascii="宋体" w:hAnsi="宋体" w:eastAsia="宋体" w:cs="宋体"/>
                <w:i w:val="0"/>
                <w:color w:val="auto"/>
                <w:sz w:val="24"/>
                <w:szCs w:val="24"/>
                <w:highlight w:val="none"/>
                <w:u w:val="none"/>
              </w:rPr>
            </w:pPr>
          </w:p>
        </w:tc>
      </w:tr>
      <w:tr w14:paraId="0834C3D6">
        <w:tblPrEx>
          <w:tblCellMar>
            <w:top w:w="0" w:type="dxa"/>
            <w:left w:w="0" w:type="dxa"/>
            <w:bottom w:w="0" w:type="dxa"/>
            <w:right w:w="0" w:type="dxa"/>
          </w:tblCellMar>
        </w:tblPrEx>
        <w:trPr>
          <w:trHeight w:val="522" w:hRule="atLeast"/>
        </w:trPr>
        <w:tc>
          <w:tcPr>
            <w:tcW w:w="643" w:type="pct"/>
            <w:vMerge w:val="restart"/>
            <w:tcBorders>
              <w:top w:val="nil"/>
              <w:left w:val="single" w:color="000000" w:sz="4" w:space="0"/>
              <w:right w:val="single" w:color="000000" w:sz="4" w:space="0"/>
            </w:tcBorders>
            <w:noWrap w:val="0"/>
            <w:tcMar>
              <w:top w:w="15" w:type="dxa"/>
              <w:left w:w="15" w:type="dxa"/>
              <w:right w:w="15" w:type="dxa"/>
            </w:tcMar>
            <w:vAlign w:val="center"/>
          </w:tcPr>
          <w:p w14:paraId="6DCE3E0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snapToGrid w:val="0"/>
                <w:color w:val="auto"/>
                <w:kern w:val="0"/>
                <w:sz w:val="24"/>
                <w:szCs w:val="24"/>
                <w:highlight w:val="none"/>
                <w:u w:val="none"/>
                <w:lang w:val="en-US" w:eastAsia="zh-CN" w:bidi="ar"/>
              </w:rPr>
              <w:t>1</w:t>
            </w:r>
          </w:p>
        </w:tc>
        <w:tc>
          <w:tcPr>
            <w:tcW w:w="1777"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670BC06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color w:val="auto"/>
                <w:sz w:val="24"/>
                <w:szCs w:val="24"/>
                <w:highlight w:val="none"/>
                <w:vertAlign w:val="baseline"/>
                <w:lang w:val="en-US" w:eastAsia="zh-CN"/>
              </w:rPr>
              <w:t>华水水业公司</w:t>
            </w: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FAFBD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宋体" w:hAnsi="宋体" w:eastAsia="宋体" w:cs="宋体"/>
                <w:i w:val="0"/>
                <w:color w:val="auto"/>
                <w:sz w:val="24"/>
                <w:szCs w:val="24"/>
                <w:highlight w:val="none"/>
                <w:u w:val="none"/>
                <w:lang w:val="en-US"/>
              </w:rPr>
            </w:pPr>
            <w:r>
              <w:rPr>
                <w:rFonts w:hint="eastAsia" w:ascii="宋体" w:hAnsi="宋体" w:eastAsia="宋体" w:cs="宋体"/>
                <w:color w:val="auto"/>
                <w:sz w:val="24"/>
                <w:szCs w:val="24"/>
                <w:highlight w:val="none"/>
                <w:vertAlign w:val="baseline"/>
                <w:lang w:val="en-US" w:eastAsia="zh-CN"/>
              </w:rPr>
              <w:t>龙北水厂保洁</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90A4CBD">
            <w:pPr>
              <w:keepNext w:val="0"/>
              <w:keepLines w:val="0"/>
              <w:pageBreakBefore w:val="0"/>
              <w:kinsoku/>
              <w:wordWrap/>
              <w:overflowPunct/>
              <w:topLinePunct w:val="0"/>
              <w:autoSpaceDE/>
              <w:autoSpaceDN/>
              <w:bidi w:val="0"/>
              <w:adjustRightInd/>
              <w:snapToGrid/>
              <w:ind w:left="0" w:leftChars="0" w:firstLine="0" w:firstLineChars="0"/>
              <w:jc w:val="center"/>
              <w:rPr>
                <w:rFonts w:hint="eastAsia" w:ascii="宋体" w:hAnsi="宋体" w:eastAsia="宋体" w:cs="宋体"/>
                <w:i w:val="0"/>
                <w:color w:val="auto"/>
                <w:sz w:val="24"/>
                <w:szCs w:val="24"/>
                <w:highlight w:val="none"/>
                <w:u w:val="none"/>
              </w:rPr>
            </w:pPr>
            <w:r>
              <w:rPr>
                <w:rFonts w:hint="eastAsia" w:cs="宋体"/>
                <w:color w:val="auto"/>
                <w:sz w:val="24"/>
                <w:szCs w:val="24"/>
                <w:highlight w:val="none"/>
                <w:vertAlign w:val="baseline"/>
                <w:lang w:val="en-US" w:eastAsia="zh-CN"/>
              </w:rPr>
              <w:t>1人</w:t>
            </w:r>
          </w:p>
        </w:tc>
      </w:tr>
      <w:tr w14:paraId="373518AE">
        <w:tblPrEx>
          <w:tblCellMar>
            <w:top w:w="0" w:type="dxa"/>
            <w:left w:w="0" w:type="dxa"/>
            <w:bottom w:w="0" w:type="dxa"/>
            <w:right w:w="0" w:type="dxa"/>
          </w:tblCellMar>
        </w:tblPrEx>
        <w:trPr>
          <w:trHeight w:val="565" w:hRule="atLeast"/>
        </w:trPr>
        <w:tc>
          <w:tcPr>
            <w:tcW w:w="643" w:type="pct"/>
            <w:vMerge w:val="continue"/>
            <w:tcBorders>
              <w:left w:val="single" w:color="000000" w:sz="4" w:space="0"/>
              <w:right w:val="single" w:color="000000" w:sz="4" w:space="0"/>
            </w:tcBorders>
            <w:noWrap w:val="0"/>
            <w:tcMar>
              <w:top w:w="15" w:type="dxa"/>
              <w:left w:w="15" w:type="dxa"/>
              <w:right w:w="15" w:type="dxa"/>
            </w:tcMar>
            <w:vAlign w:val="center"/>
          </w:tcPr>
          <w:p w14:paraId="18C1141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snapToGrid w:val="0"/>
                <w:color w:val="auto"/>
                <w:kern w:val="0"/>
                <w:sz w:val="24"/>
                <w:szCs w:val="24"/>
                <w:highlight w:val="none"/>
                <w:u w:val="none"/>
                <w:lang w:val="en-US" w:eastAsia="zh-CN" w:bidi="ar"/>
              </w:rPr>
            </w:pPr>
          </w:p>
        </w:tc>
        <w:tc>
          <w:tcPr>
            <w:tcW w:w="1777" w:type="pct"/>
            <w:vMerge w:val="continue"/>
            <w:tcBorders>
              <w:left w:val="single" w:color="000000" w:sz="4" w:space="0"/>
              <w:right w:val="single" w:color="000000" w:sz="4" w:space="0"/>
            </w:tcBorders>
            <w:noWrap w:val="0"/>
            <w:tcMar>
              <w:top w:w="15" w:type="dxa"/>
              <w:left w:w="15" w:type="dxa"/>
              <w:right w:w="15" w:type="dxa"/>
            </w:tcMar>
            <w:vAlign w:val="center"/>
          </w:tcPr>
          <w:p w14:paraId="7275188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color w:val="auto"/>
                <w:sz w:val="24"/>
                <w:szCs w:val="24"/>
                <w:highlight w:val="none"/>
                <w:vertAlign w:val="baseline"/>
                <w:lang w:val="en-US" w:eastAsia="zh-CN"/>
              </w:rPr>
            </w:pP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0105A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二水厂保洁</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458EB87">
            <w:pPr>
              <w:keepNext w:val="0"/>
              <w:keepLines w:val="0"/>
              <w:pageBreakBefore w:val="0"/>
              <w:kinsoku/>
              <w:wordWrap/>
              <w:overflowPunct/>
              <w:topLinePunct w:val="0"/>
              <w:autoSpaceDE/>
              <w:autoSpaceDN/>
              <w:bidi w:val="0"/>
              <w:adjustRightInd/>
              <w:snapToGrid/>
              <w:ind w:left="0" w:leftChars="0" w:firstLine="0" w:firstLineChars="0"/>
              <w:jc w:val="center"/>
              <w:rPr>
                <w:rFonts w:hint="default" w:cs="宋体"/>
                <w:color w:val="auto"/>
                <w:sz w:val="24"/>
                <w:szCs w:val="24"/>
                <w:highlight w:val="none"/>
                <w:vertAlign w:val="baseline"/>
                <w:lang w:val="en-US" w:eastAsia="zh-CN"/>
              </w:rPr>
            </w:pPr>
            <w:r>
              <w:rPr>
                <w:rFonts w:hint="eastAsia" w:cs="宋体"/>
                <w:color w:val="auto"/>
                <w:sz w:val="24"/>
                <w:szCs w:val="24"/>
                <w:highlight w:val="none"/>
                <w:vertAlign w:val="baseline"/>
                <w:lang w:val="en-US" w:eastAsia="zh-CN"/>
              </w:rPr>
              <w:t>4人</w:t>
            </w:r>
          </w:p>
        </w:tc>
      </w:tr>
      <w:tr w14:paraId="56748C51">
        <w:tblPrEx>
          <w:tblCellMar>
            <w:top w:w="0" w:type="dxa"/>
            <w:left w:w="0" w:type="dxa"/>
            <w:bottom w:w="0" w:type="dxa"/>
            <w:right w:w="0" w:type="dxa"/>
          </w:tblCellMar>
        </w:tblPrEx>
        <w:trPr>
          <w:trHeight w:val="522" w:hRule="atLeast"/>
        </w:trPr>
        <w:tc>
          <w:tcPr>
            <w:tcW w:w="643"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29272A2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i w:val="0"/>
                <w:snapToGrid w:val="0"/>
                <w:color w:val="auto"/>
                <w:kern w:val="0"/>
                <w:sz w:val="24"/>
                <w:szCs w:val="24"/>
                <w:highlight w:val="none"/>
                <w:u w:val="none"/>
                <w:lang w:val="en-US" w:eastAsia="zh-CN" w:bidi="ar"/>
              </w:rPr>
            </w:pPr>
          </w:p>
        </w:tc>
        <w:tc>
          <w:tcPr>
            <w:tcW w:w="1777" w:type="pct"/>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14:paraId="6B7E98F0">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宋体" w:hAnsi="宋体" w:eastAsia="宋体" w:cs="宋体"/>
                <w:color w:val="auto"/>
                <w:sz w:val="24"/>
                <w:szCs w:val="24"/>
                <w:highlight w:val="none"/>
                <w:vertAlign w:val="baseline"/>
                <w:lang w:val="en-US" w:eastAsia="zh-CN"/>
              </w:rPr>
            </w:pPr>
          </w:p>
        </w:tc>
        <w:tc>
          <w:tcPr>
            <w:tcW w:w="163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24363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二水厂绿化</w:t>
            </w:r>
          </w:p>
        </w:tc>
        <w:tc>
          <w:tcPr>
            <w:tcW w:w="944" w:type="pc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09C8ACB">
            <w:pPr>
              <w:keepNext w:val="0"/>
              <w:keepLines w:val="0"/>
              <w:pageBreakBefore w:val="0"/>
              <w:kinsoku/>
              <w:wordWrap/>
              <w:overflowPunct/>
              <w:topLinePunct w:val="0"/>
              <w:autoSpaceDE/>
              <w:autoSpaceDN/>
              <w:bidi w:val="0"/>
              <w:adjustRightInd/>
              <w:snapToGrid/>
              <w:ind w:left="0" w:leftChars="0" w:firstLine="0" w:firstLineChars="0"/>
              <w:jc w:val="center"/>
              <w:rPr>
                <w:rFonts w:hint="default" w:cs="宋体"/>
                <w:color w:val="auto"/>
                <w:sz w:val="24"/>
                <w:szCs w:val="24"/>
                <w:highlight w:val="none"/>
                <w:vertAlign w:val="baseline"/>
                <w:lang w:val="en-US" w:eastAsia="zh-CN"/>
              </w:rPr>
            </w:pPr>
            <w:r>
              <w:rPr>
                <w:rFonts w:hint="eastAsia" w:cs="宋体"/>
                <w:color w:val="auto"/>
                <w:sz w:val="24"/>
                <w:szCs w:val="24"/>
                <w:highlight w:val="none"/>
                <w:vertAlign w:val="baseline"/>
                <w:lang w:val="en-US" w:eastAsia="zh-CN"/>
              </w:rPr>
              <w:t>2人</w:t>
            </w:r>
          </w:p>
        </w:tc>
      </w:tr>
      <w:tr w14:paraId="52F2AD59">
        <w:tblPrEx>
          <w:tblCellMar>
            <w:top w:w="0" w:type="dxa"/>
            <w:left w:w="0" w:type="dxa"/>
            <w:bottom w:w="0" w:type="dxa"/>
            <w:right w:w="0" w:type="dxa"/>
          </w:tblCellMar>
        </w:tblPrEx>
        <w:trPr>
          <w:trHeight w:val="865" w:hRule="atLeast"/>
        </w:trPr>
        <w:tc>
          <w:tcPr>
            <w:tcW w:w="5000" w:type="pct"/>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F08117">
            <w:pPr>
              <w:keepNext w:val="0"/>
              <w:keepLines w:val="0"/>
              <w:widowControl/>
              <w:suppressLineNumbers w:val="0"/>
              <w:tabs>
                <w:tab w:val="left" w:pos="3249"/>
              </w:tabs>
              <w:ind w:left="0" w:leftChars="0" w:firstLine="0" w:firstLineChars="0"/>
              <w:jc w:val="left"/>
              <w:textAlignment w:val="center"/>
              <w:rPr>
                <w:rFonts w:hint="eastAsia" w:ascii="宋体" w:hAnsi="宋体" w:eastAsia="宋体" w:cs="宋体"/>
                <w:i w:val="0"/>
                <w:snapToGrid w:val="0"/>
                <w:color w:val="auto"/>
                <w:kern w:val="0"/>
                <w:sz w:val="24"/>
                <w:szCs w:val="24"/>
                <w:highlight w:val="none"/>
                <w:u w:val="none"/>
                <w:lang w:val="en-US" w:eastAsia="zh-CN" w:bidi="ar"/>
              </w:rPr>
            </w:pPr>
            <w:r>
              <w:rPr>
                <w:rFonts w:hint="eastAsia" w:ascii="宋体" w:hAnsi="宋体" w:eastAsia="宋体" w:cs="宋体"/>
                <w:i w:val="0"/>
                <w:snapToGrid w:val="0"/>
                <w:color w:val="auto"/>
                <w:kern w:val="0"/>
                <w:sz w:val="24"/>
                <w:szCs w:val="24"/>
                <w:highlight w:val="none"/>
                <w:u w:val="none"/>
                <w:lang w:val="en-US" w:eastAsia="zh-CN" w:bidi="ar"/>
              </w:rPr>
              <w:t>注意：1、供应商提供劳务承包人数及要求不得少于表内要求。</w:t>
            </w:r>
          </w:p>
          <w:p w14:paraId="6B878762">
            <w:pPr>
              <w:keepNext w:val="0"/>
              <w:keepLines w:val="0"/>
              <w:widowControl/>
              <w:suppressLineNumbers w:val="0"/>
              <w:tabs>
                <w:tab w:val="left" w:pos="3249"/>
              </w:tabs>
              <w:ind w:left="0" w:leftChars="0" w:firstLine="0" w:firstLineChars="0"/>
              <w:jc w:val="left"/>
              <w:textAlignment w:val="center"/>
              <w:rPr>
                <w:rFonts w:hint="eastAsia" w:ascii="宋体" w:hAnsi="宋体" w:eastAsia="宋体" w:cs="宋体"/>
                <w:i w:val="0"/>
                <w:snapToGrid w:val="0"/>
                <w:color w:val="auto"/>
                <w:kern w:val="0"/>
                <w:sz w:val="24"/>
                <w:szCs w:val="24"/>
                <w:highlight w:val="none"/>
                <w:u w:val="none"/>
                <w:lang w:val="en-US" w:eastAsia="zh-CN" w:bidi="ar"/>
              </w:rPr>
            </w:pPr>
            <w:r>
              <w:rPr>
                <w:rFonts w:hint="eastAsia" w:ascii="宋体" w:hAnsi="宋体" w:eastAsia="宋体" w:cs="宋体"/>
                <w:i w:val="0"/>
                <w:snapToGrid w:val="0"/>
                <w:color w:val="auto"/>
                <w:kern w:val="0"/>
                <w:sz w:val="24"/>
                <w:szCs w:val="24"/>
                <w:highlight w:val="none"/>
                <w:u w:val="none"/>
                <w:lang w:val="en-US" w:eastAsia="zh-CN" w:bidi="ar"/>
              </w:rPr>
              <w:t>2、采购人可根据实际需要调整各岗位人员。</w:t>
            </w:r>
          </w:p>
        </w:tc>
      </w:tr>
    </w:tbl>
    <w:p w14:paraId="1FFD0FE6">
      <w:pPr>
        <w:snapToGrid w:val="0"/>
        <w:spacing w:line="360" w:lineRule="auto"/>
        <w:rPr>
          <w:rFonts w:hint="eastAsia"/>
          <w:b/>
          <w:bCs/>
          <w:color w:val="auto"/>
          <w:sz w:val="28"/>
          <w:szCs w:val="28"/>
          <w:highlight w:val="none"/>
        </w:rPr>
      </w:pPr>
      <w:r>
        <w:rPr>
          <w:rFonts w:hint="eastAsia"/>
          <w:b/>
          <w:bCs/>
          <w:color w:val="auto"/>
          <w:sz w:val="28"/>
          <w:szCs w:val="28"/>
          <w:highlight w:val="none"/>
          <w:lang w:val="en-US" w:eastAsia="zh-CN"/>
        </w:rPr>
        <w:t>二、要求</w:t>
      </w:r>
      <w:r>
        <w:rPr>
          <w:rFonts w:hint="eastAsia"/>
          <w:b/>
          <w:bCs/>
          <w:color w:val="auto"/>
          <w:sz w:val="28"/>
          <w:szCs w:val="28"/>
          <w:highlight w:val="none"/>
        </w:rPr>
        <w:t>：</w:t>
      </w:r>
    </w:p>
    <w:p w14:paraId="494DAD6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1.保洁人员工作职责</w:t>
      </w:r>
    </w:p>
    <w:p w14:paraId="695A68B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（1）负责水厂办公大楼环境卫生工作。</w:t>
      </w:r>
    </w:p>
    <w:p w14:paraId="6DAFFF8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（2）负责水厂净水构筑物卫生打扫工作。</w:t>
      </w:r>
    </w:p>
    <w:p w14:paraId="4EED628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（3）负责水厂内道路打扫工作。</w:t>
      </w:r>
    </w:p>
    <w:p w14:paraId="341C53B0">
      <w:pPr>
        <w:pStyle w:val="2"/>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（4）接受公司临时安排的工作。</w:t>
      </w:r>
    </w:p>
    <w:p w14:paraId="238A93B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2.绿化人员工作职责</w:t>
      </w:r>
    </w:p>
    <w:p w14:paraId="211539F9">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（1）负责整个水厂厂区环境卫生工作。</w:t>
      </w:r>
    </w:p>
    <w:p w14:paraId="2B79B42F">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（2）负责整个水厂绿化维护等工作。</w:t>
      </w:r>
    </w:p>
    <w:p w14:paraId="7D97975F">
      <w:pPr>
        <w:pStyle w:val="2"/>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（3）接受公司临时安排的工作。</w:t>
      </w:r>
    </w:p>
    <w:p w14:paraId="15C86B81">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3.管理制度</w:t>
      </w:r>
    </w:p>
    <w:p w14:paraId="12A7768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（1）人员必须尽心尽力坚守岗位，认真负责，不得擅自离岗、脱岗。</w:t>
      </w:r>
    </w:p>
    <w:p w14:paraId="4BE5B76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（2）人员要保持高度警惕性和积极的工作态度，对待群众用语得当，热情和蔼，热心服务，避免与群众发生矛盾，更不得有任何冲突。</w:t>
      </w:r>
    </w:p>
    <w:p w14:paraId="3F043CD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（3）所有服务人员必须服从采购人的工作安排，维护管理区域的秩序。</w:t>
      </w:r>
    </w:p>
    <w:p w14:paraId="190BAAA3">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（4）成交供应商无条件接受采购人定期、不定期对其在服务期间的检查、管理和监督，对抽查检查中发现人员擅自离岗、脱岗将进行批评教育，情况严重进行罚款处理。</w:t>
      </w:r>
    </w:p>
    <w:p w14:paraId="0DA48BB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（6）采购人有关工作人员有权巡查服务人员的工作情况，有权对违反规定的服务人员提出批评。</w:t>
      </w:r>
    </w:p>
    <w:p w14:paraId="065F609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4.其他要求</w:t>
      </w:r>
    </w:p>
    <w:p w14:paraId="7E3F080E">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（1）成交供应商派驻人员的撤换或辞退必须经采购人同意认可。如因此造成岗位人数的空缺，成交供应商应在保证采购人正常工作的前提下，在3个工作日内予以补充相等条件（包括年龄）的人员。</w:t>
      </w:r>
    </w:p>
    <w:p w14:paraId="08A5E05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（5）服务人员有下列情况之一的，采购人有权要求成交供应商撤换服务人员，成交供应商必须在收到采购人书面通知3个工作日内予以撤换：</w:t>
      </w:r>
    </w:p>
    <w:p w14:paraId="031C73D5">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①违反有关管理规定被有效投诉3次的；</w:t>
      </w:r>
    </w:p>
    <w:p w14:paraId="2632E7DA">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②工作失职给采购人造成损失的；</w:t>
      </w:r>
    </w:p>
    <w:p w14:paraId="0165D97F">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③工作期间聚众闲谈、睡觉或干工作无关的事项，影响恶劣的；</w:t>
      </w:r>
    </w:p>
    <w:p w14:paraId="54A4318D">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④因其他原因违法犯罪被处罚的.</w:t>
      </w:r>
    </w:p>
    <w:p w14:paraId="28C9224E">
      <w:pPr>
        <w:bidi w:val="0"/>
        <w:rPr>
          <w:rFonts w:hint="eastAsia" w:ascii="宋体" w:hAnsi="宋体" w:eastAsia="宋体" w:cs="宋体"/>
          <w:color w:val="auto"/>
          <w:highlight w:val="none"/>
          <w:lang w:val="en-US" w:eastAsia="zh-CN"/>
        </w:rPr>
      </w:pPr>
      <w:bookmarkStart w:id="206" w:name="_Toc69916881"/>
      <w:r>
        <w:rPr>
          <w:rFonts w:hint="eastAsia" w:ascii="宋体" w:hAnsi="宋体" w:eastAsia="宋体" w:cs="宋体"/>
          <w:color w:val="auto"/>
          <w:highlight w:val="none"/>
          <w:lang w:val="en-US" w:eastAsia="zh-CN"/>
        </w:rPr>
        <w:t>5.商务要求</w:t>
      </w:r>
      <w:bookmarkEnd w:id="206"/>
    </w:p>
    <w:p w14:paraId="0FD56990">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5.1投标报价</w:t>
      </w:r>
    </w:p>
    <w:p w14:paraId="29426AE8">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本项目实行总包干制，磋商供应商的报价应为承包完成本次项目需完成全部工作所发生的所有费用，包括：工资、福利、高温费、节假日加班、社保、意外伤害保险、服装费、残保金、工会费等相关费用报价固定（计248400元），磋商供应商应结合本项目特点，市场行情及供应商自身的技术，管理水平，竞争能力，确定管理费及税金的（计   30240元）最终报价。</w:t>
      </w:r>
    </w:p>
    <w:p w14:paraId="57C0A91D">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5.2服务期限</w:t>
      </w:r>
    </w:p>
    <w:p w14:paraId="01EA60F7">
      <w:pPr>
        <w:numPr>
          <w:ilvl w:val="0"/>
          <w:numId w:val="9"/>
        </w:num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壹年（</w:t>
      </w:r>
      <w:r>
        <w:rPr>
          <w:rFonts w:hint="eastAsia" w:ascii="宋体" w:hAnsi="宋体" w:eastAsia="宋体" w:cs="宋体"/>
          <w:lang w:val="en-US" w:eastAsia="zh-CN"/>
        </w:rPr>
        <w:t>自2025年  月  日至2026年  月   日止</w:t>
      </w:r>
      <w:r>
        <w:rPr>
          <w:rFonts w:hint="eastAsia" w:ascii="宋体" w:hAnsi="宋体" w:eastAsia="宋体" w:cs="宋体"/>
          <w:color w:val="auto"/>
          <w:highlight w:val="none"/>
          <w:lang w:val="en-US" w:eastAsia="zh-CN"/>
        </w:rPr>
        <w:t>）。若承包期内，若成交供应商有违约行为的，采购人有权单方面解除合同。</w:t>
      </w:r>
    </w:p>
    <w:p w14:paraId="15B30B40">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（2）具体进场时间及人员由采购人和中标供应商共同确定。（</w:t>
      </w:r>
      <w:r>
        <w:rPr>
          <w:rFonts w:hint="eastAsia" w:eastAsia="宋体" w:cs="Calibri"/>
          <w:b/>
          <w:bCs/>
          <w:color w:val="auto"/>
          <w:highlight w:val="none"/>
          <w:lang w:val="en-US" w:eastAsia="zh-CN"/>
        </w:rPr>
        <w:t>其中</w:t>
      </w:r>
      <w:r>
        <w:rPr>
          <w:rFonts w:hint="eastAsia" w:ascii="宋体" w:hAnsi="宋体" w:eastAsia="宋体" w:cs="宋体"/>
          <w:b/>
          <w:bCs/>
          <w:color w:val="auto"/>
          <w:highlight w:val="none"/>
          <w:lang w:val="en-US" w:eastAsia="zh-CN"/>
        </w:rPr>
        <w:t>二水厂保洁、绿化服务须集团公司办公地点搬迁完成后并接到业主通知进场</w:t>
      </w:r>
      <w:r>
        <w:rPr>
          <w:rFonts w:hint="eastAsia" w:ascii="宋体" w:hAnsi="宋体" w:eastAsia="宋体" w:cs="宋体"/>
          <w:color w:val="auto"/>
          <w:highlight w:val="none"/>
          <w:lang w:val="en-US" w:eastAsia="zh-CN"/>
        </w:rPr>
        <w:t>）</w:t>
      </w:r>
    </w:p>
    <w:p w14:paraId="55D385EB">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（3）成交供应商不得转包、分包、若经采购人发现，采购人可终止合同。</w:t>
      </w:r>
    </w:p>
    <w:p w14:paraId="0BEA9E5D">
      <w:pPr>
        <w:bidi w:val="0"/>
        <w:rPr>
          <w:rFonts w:hint="eastAsia" w:ascii="宋体" w:hAnsi="宋体" w:eastAsia="宋体" w:cs="宋体"/>
          <w:color w:val="auto"/>
          <w:highlight w:val="none"/>
          <w:lang w:val="en-US" w:eastAsia="zh-CN"/>
        </w:rPr>
      </w:pPr>
      <w:bookmarkStart w:id="207" w:name="_Toc36024239"/>
      <w:bookmarkStart w:id="208" w:name="_Toc35969569"/>
      <w:bookmarkStart w:id="209" w:name="_Toc59175409"/>
      <w:bookmarkStart w:id="210" w:name="_Toc36743230"/>
      <w:bookmarkStart w:id="211" w:name="_Toc59706981"/>
      <w:bookmarkStart w:id="212" w:name="_Toc58586863"/>
      <w:bookmarkStart w:id="213" w:name="_Toc35969603"/>
      <w:r>
        <w:rPr>
          <w:rFonts w:hint="eastAsia" w:ascii="宋体" w:hAnsi="宋体" w:eastAsia="宋体" w:cs="宋体"/>
          <w:color w:val="auto"/>
          <w:highlight w:val="none"/>
          <w:lang w:val="en-US" w:eastAsia="zh-CN"/>
        </w:rPr>
        <w:t>5.3履约保证金（见前附表）</w:t>
      </w:r>
    </w:p>
    <w:p w14:paraId="74723E67">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5.4付款方式</w:t>
      </w:r>
      <w:bookmarkEnd w:id="207"/>
      <w:bookmarkEnd w:id="208"/>
      <w:bookmarkEnd w:id="209"/>
      <w:bookmarkEnd w:id="210"/>
      <w:bookmarkEnd w:id="211"/>
      <w:bookmarkEnd w:id="212"/>
      <w:bookmarkEnd w:id="213"/>
      <w:r>
        <w:rPr>
          <w:rFonts w:hint="eastAsia" w:ascii="宋体" w:hAnsi="宋体" w:eastAsia="宋体" w:cs="宋体"/>
          <w:color w:val="auto"/>
          <w:highlight w:val="none"/>
          <w:lang w:val="en-US" w:eastAsia="zh-CN"/>
        </w:rPr>
        <w:t>（先服务后支付）</w:t>
      </w:r>
    </w:p>
    <w:p w14:paraId="4DE78952">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（1）支付方式：按月支付，每季由成交供应商按年度合同总额的月平均数向采购人结算；在下月度15日前支付给成交供应商服务费，最后一个月度的费用在服务期结束后15日内结清（遇节假日顺延）。</w:t>
      </w:r>
    </w:p>
    <w:p w14:paraId="4CA3BC6C">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（2）每月由成交供应商向采购人结算，采购人凭成交供应商开具的正式发票和员工工资发放凭证复印件（以便采购人确认员工劳动报酬已经兑现）进行支付。</w:t>
      </w:r>
    </w:p>
    <w:p w14:paraId="575070CB">
      <w:pPr>
        <w:bidi w:val="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（3）采购人可随时根据实际情况进行核实，一经发现存在克扣员工工资及福利或者拖欠员工工资问题及福利将按照相关要求及法律规定对相关责任人严肃查处。</w:t>
      </w:r>
    </w:p>
    <w:p w14:paraId="3E0EF346">
      <w:pPr>
        <w:rPr>
          <w:color w:val="auto"/>
          <w:highlight w:val="none"/>
        </w:rPr>
      </w:pPr>
    </w:p>
    <w:p w14:paraId="41828008">
      <w:pPr>
        <w:pStyle w:val="7"/>
        <w:rPr>
          <w:color w:val="auto"/>
          <w:highlight w:val="none"/>
        </w:rPr>
      </w:pPr>
    </w:p>
    <w:p w14:paraId="5993A786">
      <w:pPr>
        <w:rPr>
          <w:color w:val="auto"/>
          <w:highlight w:val="none"/>
        </w:rPr>
      </w:pPr>
    </w:p>
    <w:p w14:paraId="0F4BA700">
      <w:pPr>
        <w:pStyle w:val="7"/>
        <w:rPr>
          <w:color w:val="auto"/>
          <w:highlight w:val="none"/>
        </w:rPr>
      </w:pPr>
    </w:p>
    <w:p w14:paraId="25E86BA0">
      <w:pPr>
        <w:rPr>
          <w:color w:val="auto"/>
          <w:highlight w:val="none"/>
        </w:rPr>
      </w:pPr>
    </w:p>
    <w:p w14:paraId="1AECFFE0">
      <w:pPr>
        <w:pStyle w:val="7"/>
        <w:rPr>
          <w:color w:val="auto"/>
          <w:highlight w:val="none"/>
        </w:rPr>
      </w:pPr>
    </w:p>
    <w:p w14:paraId="5288072F">
      <w:pPr>
        <w:rPr>
          <w:color w:val="auto"/>
          <w:highlight w:val="none"/>
        </w:rPr>
      </w:pPr>
      <w:r>
        <w:rPr>
          <w:color w:val="auto"/>
          <w:highlight w:val="none"/>
        </w:rPr>
        <w:br w:type="page"/>
      </w:r>
    </w:p>
    <w:bookmarkEnd w:id="195"/>
    <w:bookmarkEnd w:id="196"/>
    <w:bookmarkEnd w:id="197"/>
    <w:bookmarkEnd w:id="198"/>
    <w:bookmarkEnd w:id="199"/>
    <w:bookmarkEnd w:id="200"/>
    <w:bookmarkEnd w:id="201"/>
    <w:bookmarkEnd w:id="202"/>
    <w:bookmarkEnd w:id="203"/>
    <w:bookmarkEnd w:id="204"/>
    <w:bookmarkEnd w:id="205"/>
    <w:p w14:paraId="20794CC4">
      <w:pPr>
        <w:numPr>
          <w:ilvl w:val="0"/>
          <w:numId w:val="8"/>
        </w:numPr>
        <w:adjustRightInd w:val="0"/>
        <w:snapToGrid w:val="0"/>
        <w:spacing w:line="360" w:lineRule="auto"/>
        <w:ind w:firstLine="0" w:firstLineChars="0"/>
        <w:jc w:val="center"/>
        <w:outlineLvl w:val="0"/>
        <w:rPr>
          <w:rFonts w:ascii="宋体" w:hAnsi="宋体" w:eastAsia="宋体" w:cs="宋体"/>
          <w:b/>
          <w:bCs/>
          <w:color w:val="auto"/>
          <w:kern w:val="44"/>
          <w:sz w:val="44"/>
          <w:szCs w:val="44"/>
          <w:highlight w:val="none"/>
        </w:rPr>
      </w:pPr>
      <w:bookmarkStart w:id="214" w:name="_Toc26644"/>
      <w:bookmarkStart w:id="215" w:name="_Toc6684"/>
      <w:bookmarkStart w:id="216" w:name="_Toc8957"/>
      <w:bookmarkStart w:id="217" w:name="_Toc26447"/>
      <w:bookmarkStart w:id="218" w:name="_Toc359856819"/>
      <w:bookmarkStart w:id="219" w:name="_Toc356371458"/>
      <w:bookmarkStart w:id="220" w:name="_Toc354491899"/>
      <w:bookmarkStart w:id="221" w:name="_Toc322352985"/>
      <w:r>
        <w:rPr>
          <w:rFonts w:hint="eastAsia" w:ascii="宋体" w:hAnsi="宋体" w:eastAsia="宋体" w:cs="宋体"/>
          <w:b/>
          <w:bCs/>
          <w:color w:val="auto"/>
          <w:kern w:val="44"/>
          <w:sz w:val="44"/>
          <w:szCs w:val="44"/>
          <w:highlight w:val="none"/>
        </w:rPr>
        <w:t xml:space="preserve"> </w:t>
      </w:r>
      <w:bookmarkStart w:id="222" w:name="_Toc26854"/>
      <w:bookmarkStart w:id="223" w:name="_Toc12273"/>
      <w:bookmarkStart w:id="224" w:name="_Toc27713"/>
      <w:bookmarkStart w:id="225" w:name="_Toc18757"/>
      <w:r>
        <w:rPr>
          <w:rFonts w:hint="eastAsia" w:ascii="宋体" w:hAnsi="宋体" w:eastAsia="宋体" w:cs="宋体"/>
          <w:b/>
          <w:bCs/>
          <w:color w:val="auto"/>
          <w:kern w:val="44"/>
          <w:sz w:val="44"/>
          <w:szCs w:val="44"/>
          <w:highlight w:val="none"/>
        </w:rPr>
        <w:t>合同主要条款</w:t>
      </w:r>
      <w:bookmarkEnd w:id="214"/>
      <w:bookmarkEnd w:id="222"/>
    </w:p>
    <w:p w14:paraId="661E1DB3">
      <w:pPr>
        <w:pStyle w:val="3"/>
        <w:spacing w:before="0"/>
        <w:rPr>
          <w:rFonts w:ascii="宋体" w:hAnsi="宋体" w:eastAsia="宋体"/>
          <w:b w:val="0"/>
          <w:color w:val="auto"/>
          <w:kern w:val="2"/>
          <w:sz w:val="21"/>
          <w:szCs w:val="21"/>
          <w:highlight w:val="none"/>
        </w:rPr>
      </w:pPr>
      <w:bookmarkStart w:id="226" w:name="_Toc26077"/>
      <w:bookmarkStart w:id="227" w:name="_Toc5745"/>
      <w:bookmarkStart w:id="228" w:name="_Toc6370"/>
      <w:r>
        <w:rPr>
          <w:rFonts w:hint="eastAsia" w:ascii="宋体" w:hAnsi="宋体" w:eastAsia="宋体"/>
          <w:b w:val="0"/>
          <w:color w:val="auto"/>
          <w:kern w:val="2"/>
          <w:sz w:val="21"/>
          <w:szCs w:val="21"/>
          <w:highlight w:val="none"/>
        </w:rPr>
        <w:t>（本合同为合同样稿，最终稿由双方协商后确定）</w:t>
      </w:r>
      <w:bookmarkEnd w:id="226"/>
      <w:bookmarkEnd w:id="227"/>
      <w:bookmarkEnd w:id="228"/>
    </w:p>
    <w:bookmarkEnd w:id="223"/>
    <w:bookmarkEnd w:id="224"/>
    <w:bookmarkEnd w:id="225"/>
    <w:p w14:paraId="5D5AA542">
      <w:pPr>
        <w:pStyle w:val="19"/>
        <w:snapToGrid w:val="0"/>
        <w:spacing w:line="360" w:lineRule="auto"/>
        <w:ind w:left="240" w:leftChars="100" w:right="154" w:rightChars="64" w:firstLine="239" w:firstLineChars="114"/>
        <w:rPr>
          <w:rFonts w:hAnsi="宋体"/>
          <w:color w:val="auto"/>
          <w:sz w:val="21"/>
          <w:szCs w:val="21"/>
          <w:highlight w:val="none"/>
        </w:rPr>
      </w:pPr>
      <w:r>
        <w:rPr>
          <w:rFonts w:hint="eastAsia" w:hAnsi="宋体"/>
          <w:color w:val="auto"/>
          <w:sz w:val="21"/>
          <w:szCs w:val="21"/>
          <w:highlight w:val="none"/>
        </w:rPr>
        <w:t>甲方（采购人）：</w:t>
      </w:r>
    </w:p>
    <w:p w14:paraId="45321A3E">
      <w:pPr>
        <w:pStyle w:val="19"/>
        <w:snapToGrid w:val="0"/>
        <w:spacing w:line="360" w:lineRule="auto"/>
        <w:ind w:left="240" w:leftChars="100" w:right="154" w:rightChars="64" w:firstLine="239" w:firstLineChars="114"/>
        <w:rPr>
          <w:rFonts w:hAnsi="宋体"/>
          <w:color w:val="auto"/>
          <w:sz w:val="21"/>
          <w:szCs w:val="21"/>
          <w:highlight w:val="none"/>
        </w:rPr>
      </w:pPr>
      <w:r>
        <w:rPr>
          <w:rFonts w:hint="eastAsia" w:hAnsi="宋体"/>
          <w:color w:val="auto"/>
          <w:sz w:val="21"/>
          <w:szCs w:val="21"/>
          <w:highlight w:val="none"/>
        </w:rPr>
        <w:t>乙方（成交供应商）：</w:t>
      </w:r>
    </w:p>
    <w:p w14:paraId="3A5EA315">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根据本招标文件及中标人投标文件，甲方与乙方双方协商一致，就</w:t>
      </w:r>
      <w:r>
        <w:rPr>
          <w:rFonts w:hint="eastAsia" w:asciiTheme="minorEastAsia" w:hAnsiTheme="minorEastAsia" w:eastAsiaTheme="minorEastAsia" w:cstheme="minorEastAsia"/>
          <w:color w:val="auto"/>
          <w:sz w:val="21"/>
          <w:szCs w:val="21"/>
          <w:highlight w:val="none"/>
          <w:lang w:eastAsia="zh-CN"/>
        </w:rPr>
        <w:t>龙游华水水业发展有限公司劳务承包采购项目</w:t>
      </w:r>
      <w:r>
        <w:rPr>
          <w:rFonts w:hint="eastAsia" w:asciiTheme="minorEastAsia" w:hAnsiTheme="minorEastAsia" w:eastAsiaTheme="minorEastAsia" w:cstheme="minorEastAsia"/>
          <w:color w:val="auto"/>
          <w:sz w:val="21"/>
          <w:szCs w:val="21"/>
          <w:highlight w:val="none"/>
          <w:lang w:val="en-US" w:eastAsia="zh-CN"/>
        </w:rPr>
        <w:t>招标结果</w:t>
      </w:r>
      <w:r>
        <w:rPr>
          <w:rFonts w:hint="eastAsia" w:asciiTheme="minorEastAsia" w:hAnsiTheme="minorEastAsia" w:eastAsiaTheme="minorEastAsia" w:cstheme="minorEastAsia"/>
          <w:color w:val="auto"/>
          <w:sz w:val="21"/>
          <w:szCs w:val="21"/>
          <w:highlight w:val="none"/>
        </w:rPr>
        <w:t>，同意按下列条款签订本合同，并共同执行。制订“合同基本条款”的依据是《中华人民共和国</w:t>
      </w:r>
      <w:r>
        <w:rPr>
          <w:rFonts w:hint="eastAsia" w:asciiTheme="minorEastAsia" w:hAnsiTheme="minorEastAsia" w:eastAsiaTheme="minorEastAsia" w:cstheme="minorEastAsia"/>
          <w:color w:val="auto"/>
          <w:sz w:val="21"/>
          <w:szCs w:val="21"/>
          <w:highlight w:val="none"/>
          <w:lang w:eastAsia="zh-CN"/>
        </w:rPr>
        <w:t>民法典</w:t>
      </w:r>
      <w:r>
        <w:rPr>
          <w:rFonts w:hint="eastAsia" w:asciiTheme="minorEastAsia" w:hAnsiTheme="minorEastAsia" w:eastAsiaTheme="minorEastAsia" w:cstheme="minorEastAsia"/>
          <w:color w:val="auto"/>
          <w:sz w:val="21"/>
          <w:szCs w:val="21"/>
          <w:highlight w:val="none"/>
        </w:rPr>
        <w:t>》。</w:t>
      </w:r>
    </w:p>
    <w:p w14:paraId="7EAFF46F">
      <w:pPr>
        <w:widowControl w:val="0"/>
        <w:numPr>
          <w:ilvl w:val="0"/>
          <w:numId w:val="0"/>
        </w:numPr>
        <w:tabs>
          <w:tab w:val="left" w:pos="900"/>
        </w:tabs>
        <w:adjustRightInd w:val="0"/>
        <w:snapToGrid w:val="0"/>
        <w:spacing w:line="360" w:lineRule="auto"/>
        <w:ind w:leftChars="200"/>
        <w:jc w:val="both"/>
        <w:rPr>
          <w:rFonts w:hint="eastAsia" w:asciiTheme="minorEastAsia" w:hAnsiTheme="minorEastAsia" w:eastAsiaTheme="minorEastAsia" w:cstheme="minorEastAsia"/>
          <w:b/>
          <w:bCs/>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lang w:val="en-US" w:eastAsia="zh-CN"/>
        </w:rPr>
        <w:t>一、</w:t>
      </w:r>
      <w:r>
        <w:rPr>
          <w:rFonts w:hint="eastAsia" w:asciiTheme="minorEastAsia" w:hAnsiTheme="minorEastAsia" w:eastAsiaTheme="minorEastAsia" w:cstheme="minorEastAsia"/>
          <w:b/>
          <w:bCs/>
          <w:color w:val="auto"/>
          <w:spacing w:val="-2"/>
          <w:sz w:val="21"/>
          <w:szCs w:val="21"/>
          <w:highlight w:val="none"/>
        </w:rPr>
        <w:t>项目名称：</w:t>
      </w:r>
      <w:r>
        <w:rPr>
          <w:rFonts w:hint="eastAsia" w:asciiTheme="minorEastAsia" w:hAnsiTheme="minorEastAsia" w:eastAsiaTheme="minorEastAsia" w:cstheme="minorEastAsia"/>
          <w:b/>
          <w:bCs/>
          <w:color w:val="auto"/>
          <w:spacing w:val="-2"/>
          <w:sz w:val="21"/>
          <w:szCs w:val="21"/>
          <w:highlight w:val="none"/>
          <w:u w:val="single"/>
        </w:rPr>
        <w:t xml:space="preserve">                       </w:t>
      </w:r>
    </w:p>
    <w:p w14:paraId="75836126">
      <w:pPr>
        <w:adjustRightInd w:val="0"/>
        <w:snapToGrid w:val="0"/>
        <w:spacing w:line="360" w:lineRule="auto"/>
        <w:ind w:firstLine="414" w:firstLineChars="200"/>
        <w:rPr>
          <w:rFonts w:hint="eastAsia" w:asciiTheme="minorEastAsia" w:hAnsiTheme="minorEastAsia" w:eastAsiaTheme="minorEastAsia" w:cstheme="minorEastAsia"/>
          <w:b/>
          <w:bCs/>
          <w:color w:val="auto"/>
          <w:spacing w:val="-2"/>
          <w:sz w:val="21"/>
          <w:szCs w:val="21"/>
          <w:highlight w:val="none"/>
          <w:u w:val="single"/>
          <w:lang w:val="en-US" w:eastAsia="zh-CN"/>
        </w:rPr>
      </w:pPr>
      <w:r>
        <w:rPr>
          <w:rFonts w:hint="eastAsia" w:asciiTheme="minorEastAsia" w:hAnsiTheme="minorEastAsia" w:eastAsiaTheme="minorEastAsia" w:cstheme="minorEastAsia"/>
          <w:b/>
          <w:bCs/>
          <w:color w:val="auto"/>
          <w:spacing w:val="-2"/>
          <w:sz w:val="21"/>
          <w:szCs w:val="21"/>
          <w:highlight w:val="none"/>
          <w:lang w:val="en-US" w:eastAsia="zh-CN"/>
        </w:rPr>
        <w:t>二、项目编号</w:t>
      </w:r>
      <w:r>
        <w:rPr>
          <w:rFonts w:hint="eastAsia" w:asciiTheme="minorEastAsia" w:hAnsiTheme="minorEastAsia" w:eastAsiaTheme="minorEastAsia" w:cstheme="minorEastAsia"/>
          <w:b/>
          <w:bCs/>
          <w:color w:val="auto"/>
          <w:spacing w:val="-2"/>
          <w:sz w:val="21"/>
          <w:szCs w:val="21"/>
          <w:highlight w:val="none"/>
          <w:u w:val="single"/>
          <w:lang w:val="en-US" w:eastAsia="zh-CN"/>
        </w:rPr>
        <w:t xml:space="preserve">：                    </w:t>
      </w:r>
    </w:p>
    <w:p w14:paraId="0592969D">
      <w:pPr>
        <w:bidi w:val="0"/>
        <w:ind w:firstLine="880"/>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三、服务内容</w:t>
      </w:r>
    </w:p>
    <w:p w14:paraId="661D24DA">
      <w:pPr>
        <w:pStyle w:val="21"/>
        <w:spacing w:line="360" w:lineRule="auto"/>
        <w:rPr>
          <w:rFonts w:hint="eastAsia" w:asciiTheme="minorEastAsia" w:hAnsiTheme="minorEastAsia" w:eastAsiaTheme="minorEastAsia" w:cstheme="minorEastAsia"/>
          <w:color w:val="auto"/>
          <w:sz w:val="21"/>
          <w:szCs w:val="21"/>
          <w:highlight w:val="none"/>
        </w:rPr>
      </w:pPr>
    </w:p>
    <w:p w14:paraId="261F8CD2">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四、合同文件的优先次序：</w:t>
      </w:r>
    </w:p>
    <w:p w14:paraId="16C64806">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构成本合同的文件可视为是能相互说明的，如果合同文件存在歧义或不一致，则根据如下优先次序来判断：</w:t>
      </w:r>
    </w:p>
    <w:p w14:paraId="6C479A1C">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合同书及补充协议</w:t>
      </w:r>
    </w:p>
    <w:p w14:paraId="12590DAD">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中标通知书</w:t>
      </w:r>
    </w:p>
    <w:p w14:paraId="4EF2689D">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en-US" w:eastAsia="zh-CN"/>
        </w:rPr>
        <w:t>.开评标</w:t>
      </w:r>
      <w:r>
        <w:rPr>
          <w:rFonts w:hint="eastAsia" w:asciiTheme="minorEastAsia" w:hAnsiTheme="minorEastAsia" w:eastAsiaTheme="minorEastAsia" w:cstheme="minorEastAsia"/>
          <w:color w:val="auto"/>
          <w:sz w:val="21"/>
          <w:szCs w:val="21"/>
          <w:highlight w:val="none"/>
        </w:rPr>
        <w:t>纪要</w:t>
      </w:r>
    </w:p>
    <w:p w14:paraId="1CFEF364">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甲乙双方签署的文件、电传、协商纪要等文件</w:t>
      </w:r>
    </w:p>
    <w:p w14:paraId="469D3506">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招标文件及其补充文件</w:t>
      </w:r>
    </w:p>
    <w:p w14:paraId="2B6DFB25">
      <w:pPr>
        <w:spacing w:line="360" w:lineRule="auto"/>
        <w:ind w:firstLine="4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投标文件及其补充文件</w:t>
      </w:r>
    </w:p>
    <w:p w14:paraId="06F7FC66">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五、</w:t>
      </w:r>
      <w:r>
        <w:rPr>
          <w:rFonts w:hint="eastAsia" w:asciiTheme="minorEastAsia" w:hAnsiTheme="minorEastAsia" w:eastAsiaTheme="minorEastAsia" w:cstheme="minorEastAsia"/>
          <w:b/>
          <w:bCs/>
          <w:color w:val="auto"/>
          <w:spacing w:val="-2"/>
          <w:sz w:val="21"/>
          <w:szCs w:val="21"/>
          <w:highlight w:val="none"/>
          <w:lang w:val="en-US" w:eastAsia="zh-CN"/>
        </w:rPr>
        <w:t>人</w:t>
      </w:r>
      <w:r>
        <w:rPr>
          <w:rFonts w:hint="eastAsia" w:asciiTheme="minorEastAsia" w:hAnsiTheme="minorEastAsia" w:eastAsiaTheme="minorEastAsia" w:cstheme="minorEastAsia"/>
          <w:b/>
          <w:bCs/>
          <w:color w:val="auto"/>
          <w:spacing w:val="-2"/>
          <w:sz w:val="21"/>
          <w:szCs w:val="21"/>
          <w:highlight w:val="none"/>
        </w:rPr>
        <w:t>员配备要求</w:t>
      </w:r>
      <w:r>
        <w:rPr>
          <w:rFonts w:hint="eastAsia" w:asciiTheme="minorEastAsia" w:hAnsiTheme="minorEastAsia" w:eastAsiaTheme="minorEastAsia" w:cstheme="minorEastAsia"/>
          <w:color w:val="auto"/>
          <w:spacing w:val="-2"/>
          <w:sz w:val="21"/>
          <w:szCs w:val="21"/>
          <w:highlight w:val="none"/>
        </w:rPr>
        <w:t>：乙方向甲方派驻</w:t>
      </w:r>
      <w:r>
        <w:rPr>
          <w:rFonts w:hint="eastAsia" w:asciiTheme="minorEastAsia" w:hAnsiTheme="minorEastAsia" w:eastAsiaTheme="minorEastAsia" w:cstheme="minorEastAsia"/>
          <w:color w:val="auto"/>
          <w:spacing w:val="-2"/>
          <w:sz w:val="21"/>
          <w:szCs w:val="21"/>
          <w:highlight w:val="none"/>
          <w:lang w:val="en-US" w:eastAsia="zh-CN"/>
        </w:rPr>
        <w:t>人</w:t>
      </w:r>
      <w:r>
        <w:rPr>
          <w:rFonts w:hint="eastAsia" w:asciiTheme="minorEastAsia" w:hAnsiTheme="minorEastAsia" w:eastAsiaTheme="minorEastAsia" w:cstheme="minorEastAsia"/>
          <w:color w:val="auto"/>
          <w:spacing w:val="-2"/>
          <w:sz w:val="21"/>
          <w:szCs w:val="21"/>
          <w:highlight w:val="none"/>
        </w:rPr>
        <w:t>员</w:t>
      </w:r>
      <w:r>
        <w:rPr>
          <w:rFonts w:hint="eastAsia" w:asciiTheme="minorEastAsia" w:hAnsiTheme="minorEastAsia" w:eastAsiaTheme="minorEastAsia" w:cstheme="minorEastAsia"/>
          <w:color w:val="auto"/>
          <w:spacing w:val="-2"/>
          <w:sz w:val="21"/>
          <w:szCs w:val="21"/>
          <w:highlight w:val="none"/>
          <w:u w:val="single"/>
        </w:rPr>
        <w:t xml:space="preserve">         </w:t>
      </w:r>
      <w:r>
        <w:rPr>
          <w:rFonts w:hint="eastAsia" w:asciiTheme="minorEastAsia" w:hAnsiTheme="minorEastAsia" w:eastAsiaTheme="minorEastAsia" w:cstheme="minorEastAsia"/>
          <w:color w:val="auto"/>
          <w:spacing w:val="-2"/>
          <w:sz w:val="21"/>
          <w:szCs w:val="21"/>
          <w:highlight w:val="none"/>
        </w:rPr>
        <w:t>名，服从甲方按排。</w:t>
      </w:r>
    </w:p>
    <w:p w14:paraId="3EC0F39E">
      <w:pPr>
        <w:adjustRightInd w:val="0"/>
        <w:snapToGrid w:val="0"/>
        <w:spacing w:line="360" w:lineRule="auto"/>
        <w:rPr>
          <w:rFonts w:hint="eastAsia" w:asciiTheme="minorEastAsia" w:hAnsiTheme="minorEastAsia" w:eastAsiaTheme="minorEastAsia" w:cstheme="minorEastAsia"/>
          <w:b/>
          <w:bCs/>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六、服务期限：</w:t>
      </w:r>
    </w:p>
    <w:p w14:paraId="70112631">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lang w:val="en-US" w:eastAsia="zh-CN"/>
        </w:rPr>
      </w:pPr>
      <w:r>
        <w:rPr>
          <w:rFonts w:hint="eastAsia" w:asciiTheme="minorEastAsia" w:hAnsiTheme="minorEastAsia" w:eastAsiaTheme="minorEastAsia" w:cstheme="minorEastAsia"/>
          <w:color w:val="auto"/>
          <w:spacing w:val="-2"/>
          <w:sz w:val="21"/>
          <w:szCs w:val="21"/>
          <w:highlight w:val="none"/>
          <w:lang w:val="en-US" w:eastAsia="zh-CN"/>
        </w:rPr>
        <w:t>（1）壹年（自2025年  月  日至2026年  月   日止）。若承包期内，若成交供应商有违约行为的，采购人有权单方面解除合同。</w:t>
      </w:r>
    </w:p>
    <w:p w14:paraId="36503E57">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lang w:val="en-US" w:eastAsia="zh-CN"/>
        </w:rPr>
      </w:pPr>
      <w:r>
        <w:rPr>
          <w:rFonts w:hint="eastAsia" w:asciiTheme="minorEastAsia" w:hAnsiTheme="minorEastAsia" w:eastAsiaTheme="minorEastAsia" w:cstheme="minorEastAsia"/>
          <w:color w:val="auto"/>
          <w:spacing w:val="-2"/>
          <w:sz w:val="21"/>
          <w:szCs w:val="21"/>
          <w:highlight w:val="none"/>
          <w:lang w:val="en-US" w:eastAsia="zh-CN"/>
        </w:rPr>
        <w:t>（2）具体进场时间及人员由采购人和中标供应商共同确定。（其中二水厂保洁、绿化服务须集团公司办公地点搬迁完成后并接到业主通知进场）</w:t>
      </w:r>
    </w:p>
    <w:p w14:paraId="38A2750E">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lang w:val="en-US" w:eastAsia="zh-CN"/>
        </w:rPr>
        <w:t>3</w:t>
      </w:r>
      <w:r>
        <w:rPr>
          <w:rFonts w:hint="eastAsia" w:asciiTheme="minorEastAsia" w:hAnsiTheme="minorEastAsia" w:eastAsiaTheme="minorEastAsia" w:cstheme="minorEastAsia"/>
          <w:color w:val="auto"/>
          <w:spacing w:val="-2"/>
          <w:sz w:val="21"/>
          <w:szCs w:val="21"/>
          <w:highlight w:val="none"/>
          <w:lang w:eastAsia="zh-CN"/>
        </w:rPr>
        <w:t>）</w:t>
      </w:r>
      <w:r>
        <w:rPr>
          <w:rFonts w:hint="eastAsia" w:asciiTheme="minorEastAsia" w:hAnsiTheme="minorEastAsia" w:eastAsiaTheme="minorEastAsia" w:cstheme="minorEastAsia"/>
          <w:color w:val="auto"/>
          <w:spacing w:val="-2"/>
          <w:sz w:val="21"/>
          <w:szCs w:val="21"/>
          <w:highlight w:val="none"/>
        </w:rPr>
        <w:t>乙方不得转包、分包、若经甲方发现，</w:t>
      </w:r>
      <w:bookmarkStart w:id="229" w:name="_Hlk71216291"/>
      <w:r>
        <w:rPr>
          <w:rFonts w:hint="eastAsia" w:asciiTheme="minorEastAsia" w:hAnsiTheme="minorEastAsia" w:eastAsiaTheme="minorEastAsia" w:cstheme="minorEastAsia"/>
          <w:color w:val="auto"/>
          <w:spacing w:val="-2"/>
          <w:sz w:val="21"/>
          <w:szCs w:val="21"/>
          <w:highlight w:val="none"/>
        </w:rPr>
        <w:t>甲方可终止合同</w:t>
      </w:r>
      <w:bookmarkEnd w:id="229"/>
      <w:r>
        <w:rPr>
          <w:rFonts w:hint="eastAsia" w:asciiTheme="minorEastAsia" w:hAnsiTheme="minorEastAsia" w:eastAsiaTheme="minorEastAsia" w:cstheme="minorEastAsia"/>
          <w:color w:val="auto"/>
          <w:spacing w:val="-2"/>
          <w:sz w:val="21"/>
          <w:szCs w:val="21"/>
          <w:highlight w:val="none"/>
        </w:rPr>
        <w:t>。</w:t>
      </w:r>
    </w:p>
    <w:p w14:paraId="4024ACC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七、付款方式（先服务后支付）</w:t>
      </w:r>
    </w:p>
    <w:p w14:paraId="2CCF145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支付方式：按</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支付，每季由成交供应商按年度合同总额的</w:t>
      </w:r>
      <w:r>
        <w:rPr>
          <w:rFonts w:hint="eastAsia" w:asciiTheme="minorEastAsia" w:hAnsiTheme="minorEastAsia" w:eastAsiaTheme="minorEastAsia" w:cstheme="minorEastAsia"/>
          <w:color w:val="auto"/>
          <w:sz w:val="21"/>
          <w:szCs w:val="21"/>
          <w:highlight w:val="none"/>
          <w:lang w:val="en-US" w:eastAsia="zh-CN"/>
        </w:rPr>
        <w:t>月平均</w:t>
      </w:r>
      <w:r>
        <w:rPr>
          <w:rFonts w:hint="eastAsia" w:asciiTheme="minorEastAsia" w:hAnsiTheme="minorEastAsia" w:eastAsiaTheme="minorEastAsia" w:cstheme="minorEastAsia"/>
          <w:color w:val="auto"/>
          <w:sz w:val="21"/>
          <w:szCs w:val="21"/>
          <w:highlight w:val="none"/>
        </w:rPr>
        <w:t>数向采购人结算；在下</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度15日前支付给成交供应商</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服务费，最后一个</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度的费用在服务期结束后15日内结清（遇节假日顺延）。</w:t>
      </w:r>
    </w:p>
    <w:p w14:paraId="79DA47E0">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）每</w:t>
      </w:r>
      <w:r>
        <w:rPr>
          <w:rFonts w:hint="eastAsia" w:asciiTheme="minorEastAsia" w:hAnsiTheme="minorEastAsia" w:eastAsiaTheme="minorEastAsia" w:cstheme="minorEastAsia"/>
          <w:color w:val="auto"/>
          <w:sz w:val="21"/>
          <w:szCs w:val="21"/>
          <w:highlight w:val="none"/>
          <w:lang w:eastAsia="zh-CN"/>
        </w:rPr>
        <w:t>月</w:t>
      </w:r>
      <w:r>
        <w:rPr>
          <w:rFonts w:hint="eastAsia" w:asciiTheme="minorEastAsia" w:hAnsiTheme="minorEastAsia" w:eastAsiaTheme="minorEastAsia" w:cstheme="minorEastAsia"/>
          <w:color w:val="auto"/>
          <w:sz w:val="21"/>
          <w:szCs w:val="21"/>
          <w:highlight w:val="none"/>
        </w:rPr>
        <w:t>由成交供应商向采购人结算，采购人凭成交供应商开具的正式发票和员工工资发放凭证复印件（以便采购人确认员工劳动报酬已经兑现）进行支付。</w:t>
      </w:r>
    </w:p>
    <w:p w14:paraId="13849E70">
      <w:pPr>
        <w:adjustRightInd w:val="0"/>
        <w:snapToGrid w:val="0"/>
        <w:spacing w:line="360" w:lineRule="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b/>
          <w:bCs/>
          <w:color w:val="auto"/>
          <w:spacing w:val="-2"/>
          <w:sz w:val="21"/>
          <w:szCs w:val="21"/>
          <w:highlight w:val="none"/>
        </w:rPr>
        <w:t>八、</w:t>
      </w:r>
      <w:r>
        <w:rPr>
          <w:rFonts w:hint="eastAsia" w:asciiTheme="minorEastAsia" w:hAnsiTheme="minorEastAsia" w:eastAsiaTheme="minorEastAsia" w:cstheme="minorEastAsia"/>
          <w:b/>
          <w:bCs/>
          <w:color w:val="auto"/>
          <w:spacing w:val="-2"/>
          <w:sz w:val="21"/>
          <w:szCs w:val="21"/>
          <w:highlight w:val="none"/>
          <w:lang w:val="en-US" w:eastAsia="zh-CN"/>
        </w:rPr>
        <w:t>履约保证金：</w:t>
      </w:r>
      <w:r>
        <w:rPr>
          <w:rFonts w:hint="eastAsia" w:asciiTheme="minorEastAsia" w:hAnsiTheme="minorEastAsia" w:eastAsiaTheme="minorEastAsia" w:cstheme="minorEastAsia"/>
          <w:color w:val="auto"/>
          <w:sz w:val="21"/>
          <w:szCs w:val="21"/>
          <w:highlight w:val="none"/>
          <w:lang w:val="en-US" w:eastAsia="zh-CN"/>
        </w:rPr>
        <w:t>无。</w:t>
      </w:r>
    </w:p>
    <w:p w14:paraId="5DB4EAE1">
      <w:pPr>
        <w:adjustRightInd w:val="0"/>
        <w:snapToGrid w:val="0"/>
        <w:spacing w:line="360" w:lineRule="auto"/>
        <w:rPr>
          <w:rFonts w:hint="eastAsia" w:asciiTheme="minorEastAsia" w:hAnsiTheme="minorEastAsia" w:eastAsiaTheme="minorEastAsia" w:cstheme="minorEastAsia"/>
          <w:color w:val="auto"/>
          <w:spacing w:val="-2"/>
          <w:sz w:val="21"/>
          <w:szCs w:val="21"/>
          <w:highlight w:val="none"/>
        </w:rPr>
      </w:pPr>
      <w:r>
        <w:rPr>
          <w:rFonts w:hint="eastAsia" w:asciiTheme="minorEastAsia" w:hAnsiTheme="minorEastAsia" w:eastAsiaTheme="minorEastAsia" w:cstheme="minorEastAsia"/>
          <w:b/>
          <w:bCs/>
          <w:color w:val="auto"/>
          <w:spacing w:val="-2"/>
          <w:sz w:val="21"/>
          <w:szCs w:val="21"/>
          <w:highlight w:val="none"/>
        </w:rPr>
        <w:t>九、甲乙双方权利和义务</w:t>
      </w:r>
      <w:r>
        <w:rPr>
          <w:rFonts w:hint="eastAsia" w:asciiTheme="minorEastAsia" w:hAnsiTheme="minorEastAsia" w:eastAsiaTheme="minorEastAsia" w:cstheme="minorEastAsia"/>
          <w:color w:val="auto"/>
          <w:spacing w:val="-2"/>
          <w:sz w:val="21"/>
          <w:szCs w:val="21"/>
          <w:highlight w:val="none"/>
        </w:rPr>
        <w:t>：</w:t>
      </w:r>
    </w:p>
    <w:p w14:paraId="4BBC6A63">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合同服务期间费用包含包括：工资、福利、</w:t>
      </w:r>
      <w:r>
        <w:rPr>
          <w:rFonts w:hint="eastAsia" w:asciiTheme="minorEastAsia" w:hAnsiTheme="minorEastAsia" w:eastAsiaTheme="minorEastAsia" w:cstheme="minorEastAsia"/>
          <w:color w:val="auto"/>
          <w:sz w:val="21"/>
          <w:szCs w:val="21"/>
          <w:highlight w:val="none"/>
          <w:lang w:val="en-US" w:eastAsia="zh-CN"/>
        </w:rPr>
        <w:t>高温费、节假日加班、</w:t>
      </w:r>
      <w:r>
        <w:rPr>
          <w:rFonts w:hint="eastAsia" w:asciiTheme="minorEastAsia" w:hAnsiTheme="minorEastAsia" w:eastAsiaTheme="minorEastAsia" w:cstheme="minorEastAsia"/>
          <w:color w:val="auto"/>
          <w:sz w:val="21"/>
          <w:szCs w:val="21"/>
          <w:highlight w:val="none"/>
        </w:rPr>
        <w:t>社保、</w:t>
      </w:r>
      <w:r>
        <w:rPr>
          <w:rFonts w:hint="eastAsia" w:asciiTheme="minorEastAsia" w:hAnsiTheme="minorEastAsia" w:eastAsiaTheme="minorEastAsia" w:cstheme="minorEastAsia"/>
          <w:color w:val="auto"/>
          <w:sz w:val="21"/>
          <w:szCs w:val="21"/>
          <w:highlight w:val="none"/>
          <w:lang w:val="en-US" w:eastAsia="zh-CN"/>
        </w:rPr>
        <w:t>意外伤害保险</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服装费、残保金、工会费</w:t>
      </w:r>
      <w:r>
        <w:rPr>
          <w:rFonts w:hint="eastAsia" w:asciiTheme="minorEastAsia" w:hAnsiTheme="minorEastAsia" w:eastAsiaTheme="minorEastAsia" w:cstheme="minorEastAsia"/>
          <w:color w:val="auto"/>
          <w:sz w:val="21"/>
          <w:szCs w:val="21"/>
          <w:highlight w:val="none"/>
        </w:rPr>
        <w:t>等等完成合同所需的一切本身和不可或缺的所有工作开支、政策性文件规定及合同包含的所有风险、责任等各项全部费用</w:t>
      </w:r>
      <w:r>
        <w:rPr>
          <w:rFonts w:hint="eastAsia" w:asciiTheme="minorEastAsia" w:hAnsiTheme="minorEastAsia" w:eastAsiaTheme="minorEastAsia" w:cstheme="minorEastAsia"/>
          <w:color w:val="auto"/>
          <w:sz w:val="21"/>
          <w:szCs w:val="21"/>
          <w:highlight w:val="none"/>
          <w:lang w:val="en-US" w:eastAsia="zh-CN"/>
        </w:rPr>
        <w:t>；如中途发生劳务人员辞退所产生的费用由乙方全权负责，甲方不承担任何费用</w:t>
      </w:r>
      <w:r>
        <w:rPr>
          <w:rFonts w:hint="eastAsia" w:asciiTheme="minorEastAsia" w:hAnsiTheme="minorEastAsia" w:eastAsiaTheme="minorEastAsia" w:cstheme="minorEastAsia"/>
          <w:color w:val="auto"/>
          <w:sz w:val="21"/>
          <w:szCs w:val="21"/>
          <w:highlight w:val="none"/>
        </w:rPr>
        <w:t>。</w:t>
      </w:r>
    </w:p>
    <w:p w14:paraId="12715C73">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乙方无条件接受甲方定期、不定期对其在服务期间的检查、管理和监督，对抽查检查中发现</w:t>
      </w:r>
      <w:r>
        <w:rPr>
          <w:rFonts w:hint="eastAsia" w:asciiTheme="minorEastAsia" w:hAnsiTheme="minorEastAsia" w:eastAsiaTheme="minorEastAsia" w:cstheme="minorEastAsia"/>
          <w:color w:val="auto"/>
          <w:sz w:val="21"/>
          <w:szCs w:val="21"/>
          <w:highlight w:val="none"/>
          <w:lang w:val="en-US" w:eastAsia="zh-CN"/>
        </w:rPr>
        <w:t>服务</w:t>
      </w:r>
      <w:r>
        <w:rPr>
          <w:rFonts w:hint="eastAsia" w:asciiTheme="minorEastAsia" w:hAnsiTheme="minorEastAsia" w:eastAsiaTheme="minorEastAsia" w:cstheme="minorEastAsia"/>
          <w:color w:val="auto"/>
          <w:sz w:val="21"/>
          <w:szCs w:val="21"/>
          <w:highlight w:val="none"/>
        </w:rPr>
        <w:t>人员擅自离岗、脱岗、安全巡逻不到位</w:t>
      </w:r>
      <w:r>
        <w:rPr>
          <w:rFonts w:hint="eastAsia" w:asciiTheme="minorEastAsia" w:hAnsiTheme="minorEastAsia" w:eastAsiaTheme="minorEastAsia" w:cstheme="minorEastAsia"/>
          <w:color w:val="auto"/>
          <w:sz w:val="21"/>
          <w:szCs w:val="21"/>
          <w:highlight w:val="none"/>
          <w:lang w:val="en-US" w:eastAsia="zh-CN"/>
        </w:rPr>
        <w:t>将进行批评教育，情况严重进行罚款处理</w:t>
      </w:r>
      <w:r>
        <w:rPr>
          <w:rFonts w:hint="eastAsia" w:asciiTheme="minorEastAsia" w:hAnsiTheme="minorEastAsia" w:eastAsiaTheme="minorEastAsia" w:cstheme="minorEastAsia"/>
          <w:color w:val="auto"/>
          <w:sz w:val="21"/>
          <w:szCs w:val="21"/>
          <w:highlight w:val="none"/>
        </w:rPr>
        <w:t>。</w:t>
      </w:r>
    </w:p>
    <w:p w14:paraId="2EBC7719">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按有关规定采取严格的安全措施，承担由于自身安全措施不力造成的事故责任和因此发生的费用及后果，乙方服务人员的人身安全由乙方负责。乙方应为服务人员购买人身意外伤害险及与项目服务有关的一切保险。凡在服务过程中发生安全责任事故或其他责任事故，均由乙方承担责任。</w:t>
      </w:r>
    </w:p>
    <w:p w14:paraId="024FCCD1">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甲乙双方必须严格遵守国家法律法规及</w:t>
      </w:r>
      <w:r>
        <w:rPr>
          <w:rFonts w:hint="eastAsia" w:asciiTheme="minorEastAsia" w:hAnsiTheme="minorEastAsia" w:eastAsiaTheme="minorEastAsia" w:cstheme="minorEastAsia"/>
          <w:color w:val="auto"/>
          <w:sz w:val="21"/>
          <w:szCs w:val="21"/>
          <w:highlight w:val="none"/>
          <w:lang w:val="en-US" w:eastAsia="zh-CN"/>
        </w:rPr>
        <w:t>劳务</w:t>
      </w:r>
      <w:r>
        <w:rPr>
          <w:rFonts w:hint="eastAsia" w:asciiTheme="minorEastAsia" w:hAnsiTheme="minorEastAsia" w:eastAsiaTheme="minorEastAsia" w:cstheme="minorEastAsia"/>
          <w:color w:val="auto"/>
          <w:sz w:val="21"/>
          <w:szCs w:val="21"/>
          <w:highlight w:val="none"/>
        </w:rPr>
        <w:t>服务的相关规定，共同加强对</w:t>
      </w:r>
      <w:r>
        <w:rPr>
          <w:rFonts w:hint="eastAsia" w:asciiTheme="minorEastAsia" w:hAnsiTheme="minorEastAsia" w:eastAsiaTheme="minorEastAsia" w:cstheme="minorEastAsia"/>
          <w:color w:val="auto"/>
          <w:sz w:val="21"/>
          <w:szCs w:val="21"/>
          <w:highlight w:val="none"/>
          <w:lang w:val="en-US" w:eastAsia="zh-CN"/>
        </w:rPr>
        <w:t>服务人员</w:t>
      </w:r>
      <w:r>
        <w:rPr>
          <w:rFonts w:hint="eastAsia" w:asciiTheme="minorEastAsia" w:hAnsiTheme="minorEastAsia" w:eastAsiaTheme="minorEastAsia" w:cstheme="minorEastAsia"/>
          <w:color w:val="auto"/>
          <w:sz w:val="21"/>
          <w:szCs w:val="21"/>
          <w:highlight w:val="none"/>
        </w:rPr>
        <w:t>的管理。</w:t>
      </w:r>
    </w:p>
    <w:p w14:paraId="1FBC1ED6">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甲乙双方必须认真履行本合同的各项条款。</w:t>
      </w:r>
    </w:p>
    <w:p w14:paraId="1274DFE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甲方有权对乙方服务工作进行监督、检查和指导，发现问题及时告知乙方整改。</w:t>
      </w:r>
    </w:p>
    <w:p w14:paraId="4BAE62D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乙方应主动加强与甲方的联系沟通，听取意见、建议和要求，及时整改存在的问题。</w:t>
      </w:r>
    </w:p>
    <w:p w14:paraId="69F412A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8</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乙方不能擅自接受涉及甲方任何内容的媒体采访。</w:t>
      </w:r>
    </w:p>
    <w:p w14:paraId="49F04874">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十、违约责任：</w:t>
      </w:r>
    </w:p>
    <w:p w14:paraId="2AE6B8EA">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（1）乙方</w:t>
      </w:r>
      <w:r>
        <w:rPr>
          <w:rFonts w:hint="eastAsia" w:asciiTheme="minorEastAsia" w:hAnsiTheme="minorEastAsia" w:eastAsiaTheme="minorEastAsia" w:cstheme="minorEastAsia"/>
          <w:color w:val="auto"/>
          <w:sz w:val="21"/>
          <w:szCs w:val="21"/>
          <w:highlight w:val="none"/>
          <w:lang w:eastAsia="zh-CN"/>
        </w:rPr>
        <w:t>劳务人员</w:t>
      </w:r>
      <w:r>
        <w:rPr>
          <w:rFonts w:hint="eastAsia" w:asciiTheme="minorEastAsia" w:hAnsiTheme="minorEastAsia" w:eastAsiaTheme="minorEastAsia" w:cstheme="minorEastAsia"/>
          <w:color w:val="auto"/>
          <w:sz w:val="21"/>
          <w:szCs w:val="21"/>
          <w:highlight w:val="none"/>
        </w:rPr>
        <w:t>因工作失误造成甲方损失，经</w:t>
      </w:r>
      <w:r>
        <w:rPr>
          <w:rFonts w:hint="eastAsia" w:asciiTheme="minorEastAsia" w:hAnsiTheme="minorEastAsia" w:eastAsiaTheme="minorEastAsia" w:cstheme="minorEastAsia"/>
          <w:color w:val="auto"/>
          <w:sz w:val="21"/>
          <w:szCs w:val="21"/>
          <w:highlight w:val="none"/>
          <w:lang w:val="en-US" w:eastAsia="zh-CN"/>
        </w:rPr>
        <w:t>相关部门</w:t>
      </w:r>
      <w:r>
        <w:rPr>
          <w:rFonts w:hint="eastAsia" w:asciiTheme="minorEastAsia" w:hAnsiTheme="minorEastAsia" w:eastAsiaTheme="minorEastAsia" w:cstheme="minorEastAsia"/>
          <w:color w:val="auto"/>
          <w:sz w:val="21"/>
          <w:szCs w:val="21"/>
          <w:highlight w:val="none"/>
        </w:rPr>
        <w:t>查证属实，确认</w:t>
      </w:r>
      <w:r>
        <w:rPr>
          <w:rFonts w:hint="eastAsia" w:asciiTheme="minorEastAsia" w:hAnsiTheme="minorEastAsia" w:eastAsiaTheme="minorEastAsia" w:cstheme="minorEastAsia"/>
          <w:color w:val="auto"/>
          <w:sz w:val="21"/>
          <w:szCs w:val="21"/>
          <w:highlight w:val="none"/>
          <w:lang w:eastAsia="zh-CN"/>
        </w:rPr>
        <w:t>劳务人员</w:t>
      </w:r>
      <w:r>
        <w:rPr>
          <w:rFonts w:hint="eastAsia" w:asciiTheme="minorEastAsia" w:hAnsiTheme="minorEastAsia" w:eastAsiaTheme="minorEastAsia" w:cstheme="minorEastAsia"/>
          <w:color w:val="auto"/>
          <w:sz w:val="21"/>
          <w:szCs w:val="21"/>
          <w:highlight w:val="none"/>
        </w:rPr>
        <w:t>失职的，在据情追究直接责任人的行政、法律责任的同时，甲方有权扣除乙方年度中标金额的10%作为处罚金，并且乙方需解决甲方所造成的损失，将工作清理整顿完成。因不可抗力或甲方自身原因造成的损失，乙方不承担责任。</w:t>
      </w:r>
    </w:p>
    <w:p w14:paraId="1C7A0A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（2）甲乙双方不得单方中途解除合同，乙方如无故中途解除合同，乙方须赔偿甲方年度中标金额10%的违约金。甲方如拖欠、扣发</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服务费用，须赔偿乙方损失，每天按当月</w:t>
      </w:r>
      <w:r>
        <w:rPr>
          <w:rFonts w:hint="eastAsia" w:asciiTheme="minorEastAsia" w:hAnsiTheme="minorEastAsia" w:eastAsiaTheme="minorEastAsia" w:cstheme="minorEastAsia"/>
          <w:color w:val="auto"/>
          <w:sz w:val="21"/>
          <w:szCs w:val="21"/>
          <w:highlight w:val="none"/>
          <w:lang w:eastAsia="zh-CN"/>
        </w:rPr>
        <w:t>劳务</w:t>
      </w:r>
      <w:r>
        <w:rPr>
          <w:rFonts w:hint="eastAsia" w:asciiTheme="minorEastAsia" w:hAnsiTheme="minorEastAsia" w:eastAsiaTheme="minorEastAsia" w:cstheme="minorEastAsia"/>
          <w:color w:val="auto"/>
          <w:sz w:val="21"/>
          <w:szCs w:val="21"/>
          <w:highlight w:val="none"/>
        </w:rPr>
        <w:t>服务费用的</w:t>
      </w:r>
      <w:r>
        <w:rPr>
          <w:rFonts w:hint="eastAsia" w:asciiTheme="minorEastAsia" w:hAnsiTheme="minorEastAsia" w:eastAsiaTheme="minorEastAsia" w:cstheme="minorEastAsia"/>
          <w:color w:val="auto"/>
          <w:sz w:val="21"/>
          <w:szCs w:val="21"/>
          <w:highlight w:val="none"/>
          <w:lang w:val="en-US" w:eastAsia="zh-CN"/>
        </w:rPr>
        <w:t>0.3</w:t>
      </w:r>
      <w:r>
        <w:rPr>
          <w:rFonts w:hint="eastAsia" w:asciiTheme="minorEastAsia" w:hAnsiTheme="minorEastAsia" w:eastAsiaTheme="minorEastAsia" w:cstheme="minorEastAsia"/>
          <w:color w:val="auto"/>
          <w:sz w:val="21"/>
          <w:szCs w:val="21"/>
          <w:highlight w:val="none"/>
        </w:rPr>
        <w:t>%支付违约金。</w:t>
      </w:r>
    </w:p>
    <w:p w14:paraId="2D551F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（3）若乙方发生以下行为的，甲方有权单方面解除合同。</w:t>
      </w:r>
    </w:p>
    <w:p w14:paraId="5F71C48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①甲方或公安机关发现</w:t>
      </w:r>
      <w:r>
        <w:rPr>
          <w:rFonts w:hint="eastAsia" w:asciiTheme="minorEastAsia" w:hAnsiTheme="minorEastAsia" w:eastAsiaTheme="minorEastAsia" w:cstheme="minorEastAsia"/>
          <w:color w:val="auto"/>
          <w:sz w:val="21"/>
          <w:szCs w:val="21"/>
          <w:highlight w:val="none"/>
          <w:lang w:val="en-US" w:eastAsia="zh-CN"/>
        </w:rPr>
        <w:t>服务</w:t>
      </w:r>
      <w:r>
        <w:rPr>
          <w:rFonts w:hint="eastAsia" w:asciiTheme="minorEastAsia" w:hAnsiTheme="minorEastAsia" w:eastAsiaTheme="minorEastAsia" w:cstheme="minorEastAsia"/>
          <w:color w:val="auto"/>
          <w:sz w:val="21"/>
          <w:szCs w:val="21"/>
          <w:highlight w:val="none"/>
        </w:rPr>
        <w:t>人员与走私贩勾结的。</w:t>
      </w:r>
    </w:p>
    <w:p w14:paraId="479CA5F0">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②乙方发生的其他违法行为。</w:t>
      </w:r>
    </w:p>
    <w:p w14:paraId="05C77EF4">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乙方发生的其他违法行为。</w:t>
      </w:r>
    </w:p>
    <w:p w14:paraId="2F79336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十一、如合同执行期间因国家、地方政策或其他特殊情况等因素需变更本合同相应条款内容的，由甲乙双方友好协商解决，后签订的补充协议与原合同具有同等的法律效力。</w:t>
      </w:r>
    </w:p>
    <w:p w14:paraId="682CA63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十二、解决合同纠纷方式：双方协商解决。</w:t>
      </w:r>
    </w:p>
    <w:p w14:paraId="0891D636">
      <w:pPr>
        <w:bidi w:val="0"/>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lang w:val="en-US" w:eastAsia="zh-CN"/>
        </w:rPr>
        <w:t>十三</w:t>
      </w:r>
      <w:r>
        <w:rPr>
          <w:rFonts w:hint="eastAsia" w:asciiTheme="minorEastAsia" w:hAnsiTheme="minorEastAsia" w:eastAsiaTheme="minorEastAsia" w:cstheme="minorEastAsia"/>
          <w:b/>
          <w:bCs/>
          <w:color w:val="auto"/>
          <w:sz w:val="21"/>
          <w:szCs w:val="21"/>
          <w:highlight w:val="none"/>
        </w:rPr>
        <w:t>、合同生效及其它</w:t>
      </w:r>
    </w:p>
    <w:p w14:paraId="78D352C7">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本合同生效后，需要对原条款进行变更的，双方应另行签订《合同变更协议》，经双方法人或委托人签字并加盖公章后生效。</w:t>
      </w:r>
    </w:p>
    <w:p w14:paraId="114091B9">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双方发生争议时，应先协商解决。协商不成时，任何一方可依法向</w:t>
      </w:r>
      <w:r>
        <w:rPr>
          <w:rFonts w:hint="eastAsia" w:asciiTheme="minorEastAsia" w:hAnsiTheme="minorEastAsia" w:eastAsiaTheme="minorEastAsia" w:cstheme="minorEastAsia"/>
          <w:color w:val="auto"/>
          <w:sz w:val="21"/>
          <w:szCs w:val="21"/>
          <w:highlight w:val="none"/>
          <w:lang w:val="en-US" w:eastAsia="zh-CN"/>
        </w:rPr>
        <w:t>甲方</w:t>
      </w:r>
      <w:r>
        <w:rPr>
          <w:rFonts w:hint="eastAsia" w:asciiTheme="minorEastAsia" w:hAnsiTheme="minorEastAsia" w:eastAsiaTheme="minorEastAsia" w:cstheme="minorEastAsia"/>
          <w:color w:val="auto"/>
          <w:sz w:val="21"/>
          <w:szCs w:val="21"/>
          <w:highlight w:val="none"/>
        </w:rPr>
        <w:t>所在地的人民法院起诉。</w:t>
      </w:r>
    </w:p>
    <w:p w14:paraId="43248D3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 w:val="21"/>
          <w:szCs w:val="21"/>
          <w:highlight w:val="none"/>
        </w:rPr>
        <w:t>本合同正本壹式</w:t>
      </w:r>
      <w:r>
        <w:rPr>
          <w:rFonts w:hint="eastAsia" w:asciiTheme="minorEastAsia" w:hAnsiTheme="minorEastAsia" w:eastAsiaTheme="minorEastAsia" w:cstheme="minorEastAsia"/>
          <w:color w:val="auto"/>
          <w:sz w:val="21"/>
          <w:szCs w:val="21"/>
          <w:highlight w:val="none"/>
          <w:lang w:eastAsia="zh-CN"/>
        </w:rPr>
        <w:t>捌</w:t>
      </w:r>
      <w:r>
        <w:rPr>
          <w:rFonts w:hint="eastAsia" w:asciiTheme="minorEastAsia" w:hAnsiTheme="minorEastAsia" w:eastAsiaTheme="minorEastAsia" w:cstheme="minorEastAsia"/>
          <w:color w:val="auto"/>
          <w:sz w:val="21"/>
          <w:szCs w:val="21"/>
          <w:highlight w:val="none"/>
        </w:rPr>
        <w:t>份，具有同等法律效力，甲乙双方各执</w:t>
      </w:r>
      <w:r>
        <w:rPr>
          <w:rFonts w:hint="eastAsia" w:asciiTheme="minorEastAsia" w:hAnsiTheme="minorEastAsia" w:eastAsiaTheme="minorEastAsia" w:cstheme="minorEastAsia"/>
          <w:color w:val="auto"/>
          <w:sz w:val="21"/>
          <w:szCs w:val="21"/>
          <w:highlight w:val="none"/>
          <w:lang w:eastAsia="zh-CN"/>
        </w:rPr>
        <w:t>叁</w:t>
      </w:r>
      <w:r>
        <w:rPr>
          <w:rFonts w:hint="eastAsia" w:asciiTheme="minorEastAsia" w:hAnsiTheme="minorEastAsia" w:eastAsiaTheme="minorEastAsia" w:cstheme="minorEastAsia"/>
          <w:color w:val="auto"/>
          <w:sz w:val="21"/>
          <w:szCs w:val="21"/>
          <w:highlight w:val="none"/>
        </w:rPr>
        <w:t>份，</w:t>
      </w:r>
      <w:r>
        <w:rPr>
          <w:rFonts w:hint="eastAsia" w:asciiTheme="minorEastAsia" w:hAnsiTheme="minorEastAsia" w:eastAsiaTheme="minorEastAsia" w:cstheme="minorEastAsia"/>
          <w:color w:val="auto"/>
          <w:sz w:val="21"/>
          <w:szCs w:val="21"/>
          <w:highlight w:val="none"/>
          <w:lang w:val="en-US" w:eastAsia="zh-CN"/>
        </w:rPr>
        <w:t>泰宇建筑工程技术咨询有限公司</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龙游水务集团有限公司各</w:t>
      </w:r>
      <w:r>
        <w:rPr>
          <w:rFonts w:hint="eastAsia" w:asciiTheme="minorEastAsia" w:hAnsiTheme="minorEastAsia" w:eastAsiaTheme="minorEastAsia" w:cstheme="minorEastAsia"/>
          <w:color w:val="auto"/>
          <w:sz w:val="21"/>
          <w:szCs w:val="21"/>
          <w:highlight w:val="none"/>
        </w:rPr>
        <w:t>执壹份。</w:t>
      </w:r>
    </w:p>
    <w:p w14:paraId="19DF4BC2">
      <w:pPr>
        <w:bidi w:val="0"/>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以下无正文。</w:t>
      </w:r>
    </w:p>
    <w:p w14:paraId="78A4E22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甲方</w:t>
      </w:r>
      <w:r>
        <w:rPr>
          <w:rFonts w:hint="eastAsia" w:asciiTheme="minorEastAsia" w:hAnsiTheme="minorEastAsia" w:eastAsiaTheme="minorEastAsia" w:cstheme="minorEastAsia"/>
          <w:color w:val="auto"/>
          <w:sz w:val="21"/>
          <w:szCs w:val="21"/>
          <w:highlight w:val="none"/>
        </w:rPr>
        <w:t xml:space="preserve">：（盖章）                     </w:t>
      </w:r>
      <w:r>
        <w:rPr>
          <w:rFonts w:hint="eastAsia" w:asciiTheme="minorEastAsia" w:hAnsiTheme="minorEastAsia" w:eastAsiaTheme="minorEastAsia" w:cstheme="minorEastAsia"/>
          <w:color w:val="auto"/>
          <w:sz w:val="21"/>
          <w:szCs w:val="21"/>
          <w:highlight w:val="none"/>
          <w:lang w:val="en-US" w:eastAsia="zh-CN"/>
        </w:rPr>
        <w:t>乙方</w:t>
      </w:r>
      <w:r>
        <w:rPr>
          <w:rFonts w:hint="eastAsia" w:asciiTheme="minorEastAsia" w:hAnsiTheme="minorEastAsia" w:eastAsiaTheme="minorEastAsia" w:cstheme="minorEastAsia"/>
          <w:color w:val="auto"/>
          <w:sz w:val="21"/>
          <w:szCs w:val="21"/>
          <w:highlight w:val="none"/>
        </w:rPr>
        <w:t>：（盖章）</w:t>
      </w:r>
    </w:p>
    <w:p w14:paraId="6971EABF">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授权代表：                         授权代表：</w:t>
      </w:r>
    </w:p>
    <w:p w14:paraId="5D7E40C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联系电话：                         联系电话：</w:t>
      </w:r>
    </w:p>
    <w:p w14:paraId="745EC7AC">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                             传真：</w:t>
      </w:r>
    </w:p>
    <w:p w14:paraId="79405052">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                             地址：</w:t>
      </w:r>
    </w:p>
    <w:p w14:paraId="6E39BDD8">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邮编：                             邮编：</w:t>
      </w:r>
    </w:p>
    <w:p w14:paraId="7169C8C5">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                         开户银行：</w:t>
      </w:r>
    </w:p>
    <w:p w14:paraId="019B421A">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帐号：                             帐号：</w:t>
      </w:r>
    </w:p>
    <w:p w14:paraId="6473091E">
      <w:pPr>
        <w:bidi w:val="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税号：                           </w:t>
      </w:r>
    </w:p>
    <w:p w14:paraId="457501AE">
      <w:pPr>
        <w:pStyle w:val="11"/>
        <w:rPr>
          <w:rFonts w:hint="eastAsia" w:asciiTheme="minorEastAsia" w:hAnsiTheme="minorEastAsia" w:eastAsiaTheme="minorEastAsia" w:cstheme="minorEastAsia"/>
          <w:color w:val="auto"/>
          <w:sz w:val="21"/>
          <w:szCs w:val="21"/>
          <w:highlight w:val="none"/>
        </w:rPr>
      </w:pPr>
    </w:p>
    <w:p w14:paraId="027886E7">
      <w:pPr>
        <w:spacing w:line="360" w:lineRule="auto"/>
        <w:ind w:left="240" w:leftChars="100" w:right="154" w:rightChars="64" w:firstLine="239" w:firstLine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合同鉴证方：采购代理机构（盖章）</w:t>
      </w:r>
    </w:p>
    <w:p w14:paraId="72C090C7">
      <w:pPr>
        <w:spacing w:line="360" w:lineRule="auto"/>
        <w:ind w:left="240" w:leftChars="100" w:right="154" w:rightChars="64" w:firstLine="239" w:firstLine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鉴证日期：</w:t>
      </w:r>
      <w:r>
        <w:rPr>
          <w:rFonts w:hint="eastAsia" w:asciiTheme="minorEastAsia" w:hAnsiTheme="minorEastAsia" w:eastAsiaTheme="minorEastAsia" w:cstheme="minorEastAsia"/>
          <w:color w:val="auto"/>
          <w:sz w:val="21"/>
          <w:szCs w:val="21"/>
          <w:highlight w:val="none"/>
          <w:lang w:val="en-US" w:eastAsia="zh-CN"/>
        </w:rPr>
        <w:t>2025</w:t>
      </w:r>
      <w:r>
        <w:rPr>
          <w:rFonts w:hint="eastAsia" w:asciiTheme="minorEastAsia" w:hAnsiTheme="minorEastAsia" w:eastAsiaTheme="minorEastAsia" w:cstheme="minorEastAsia"/>
          <w:color w:val="auto"/>
          <w:sz w:val="21"/>
          <w:szCs w:val="21"/>
          <w:highlight w:val="none"/>
        </w:rPr>
        <w:t>年   月   日</w:t>
      </w:r>
    </w:p>
    <w:p w14:paraId="37451B41">
      <w:pPr>
        <w:pStyle w:val="11"/>
        <w:rPr>
          <w:rFonts w:hint="eastAsia"/>
          <w:color w:val="auto"/>
          <w:highlight w:val="none"/>
        </w:rPr>
      </w:pPr>
    </w:p>
    <w:p w14:paraId="14F763AD">
      <w:pPr>
        <w:rPr>
          <w:rFonts w:hint="eastAsia" w:ascii="宋体" w:hAnsi="宋体" w:cs="宋体"/>
          <w:color w:val="auto"/>
          <w:highlight w:val="none"/>
          <w:lang w:val="zh-CN" w:eastAsia="zh-CN"/>
        </w:rPr>
      </w:pPr>
      <w:r>
        <w:rPr>
          <w:rFonts w:hint="eastAsia" w:ascii="宋体" w:hAnsi="宋体" w:cs="宋体"/>
          <w:color w:val="auto"/>
          <w:highlight w:val="none"/>
          <w:lang w:val="zh-CN" w:eastAsia="zh-CN"/>
        </w:rPr>
        <w:br w:type="page"/>
      </w:r>
    </w:p>
    <w:p w14:paraId="72B594D1">
      <w:pPr>
        <w:pStyle w:val="35"/>
        <w:spacing w:line="700" w:lineRule="exact"/>
        <w:ind w:firstLine="0" w:firstLineChars="0"/>
        <w:outlineLvl w:val="0"/>
        <w:rPr>
          <w:rFonts w:ascii="宋体" w:hAnsi="宋体" w:cs="宋体"/>
          <w:color w:val="auto"/>
          <w:highlight w:val="none"/>
          <w:lang w:val="zh-CN" w:eastAsia="zh-CN"/>
        </w:rPr>
      </w:pPr>
      <w:bookmarkStart w:id="230" w:name="OLE_LINK2"/>
      <w:r>
        <w:rPr>
          <w:rFonts w:hint="eastAsia" w:ascii="宋体" w:hAnsi="宋体" w:cs="宋体"/>
          <w:color w:val="auto"/>
          <w:highlight w:val="none"/>
          <w:lang w:val="zh-CN" w:eastAsia="zh-CN"/>
        </w:rPr>
        <w:t>第五章  评审方法及评审标准</w:t>
      </w:r>
      <w:bookmarkEnd w:id="215"/>
      <w:bookmarkEnd w:id="216"/>
      <w:bookmarkEnd w:id="217"/>
      <w:bookmarkEnd w:id="230"/>
    </w:p>
    <w:p w14:paraId="28A2838C">
      <w:pPr>
        <w:pStyle w:val="4"/>
        <w:spacing w:before="167" w:after="167"/>
        <w:ind w:firstLine="0" w:firstLineChars="0"/>
        <w:jc w:val="center"/>
        <w:rPr>
          <w:rFonts w:ascii="宋体" w:hAnsi="宋体" w:eastAsia="宋体" w:cs="宋体"/>
          <w:color w:val="auto"/>
          <w:sz w:val="21"/>
          <w:szCs w:val="21"/>
          <w:highlight w:val="none"/>
        </w:rPr>
      </w:pPr>
      <w:bookmarkStart w:id="231" w:name="_Toc359856825"/>
      <w:bookmarkStart w:id="232" w:name="_Toc936"/>
      <w:bookmarkStart w:id="233" w:name="_Toc23367"/>
      <w:bookmarkStart w:id="234" w:name="_Toc28483"/>
      <w:bookmarkStart w:id="235" w:name="_Toc29562"/>
      <w:bookmarkStart w:id="236" w:name="_Toc13045"/>
      <w:bookmarkStart w:id="237" w:name="_Toc570"/>
      <w:bookmarkStart w:id="238" w:name="_Toc23137"/>
      <w:bookmarkStart w:id="239" w:name="_Toc17724"/>
      <w:r>
        <w:rPr>
          <w:rFonts w:hint="eastAsia" w:ascii="宋体" w:hAnsi="宋体" w:eastAsia="宋体" w:cs="宋体"/>
          <w:color w:val="auto"/>
          <w:sz w:val="21"/>
          <w:szCs w:val="21"/>
          <w:highlight w:val="none"/>
        </w:rPr>
        <w:t>一、评标委员会的组成</w:t>
      </w:r>
      <w:bookmarkEnd w:id="231"/>
      <w:bookmarkEnd w:id="232"/>
      <w:bookmarkEnd w:id="233"/>
      <w:bookmarkEnd w:id="234"/>
      <w:bookmarkEnd w:id="235"/>
      <w:bookmarkEnd w:id="236"/>
      <w:bookmarkEnd w:id="237"/>
      <w:bookmarkEnd w:id="238"/>
      <w:bookmarkEnd w:id="239"/>
    </w:p>
    <w:p w14:paraId="7E943586">
      <w:pPr>
        <w:spacing w:line="360" w:lineRule="auto"/>
        <w:ind w:firstLine="480"/>
        <w:rPr>
          <w:rFonts w:ascii="宋体" w:hAnsi="宋体" w:eastAsia="宋体" w:cs="宋体"/>
          <w:color w:val="auto"/>
          <w:sz w:val="21"/>
          <w:szCs w:val="21"/>
          <w:highlight w:val="none"/>
        </w:rPr>
      </w:pPr>
      <w:bookmarkStart w:id="240" w:name="_Toc359856826"/>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rPr>
        <w:t>评标委员会由采购人代表和评审专家3人组成</w:t>
      </w:r>
      <w:r>
        <w:rPr>
          <w:rFonts w:hint="eastAsia" w:ascii="宋体" w:hAnsi="宋体" w:eastAsia="宋体" w:cs="宋体"/>
          <w:color w:val="auto"/>
          <w:sz w:val="21"/>
          <w:szCs w:val="21"/>
          <w:highlight w:val="none"/>
        </w:rPr>
        <w:t>，评标委员会对投标文件进行审查、质疑、评估和比较。采购人、代理机构在开标前，按龙游县国有企业采购相关机制随机抽取确定；负责对项目评审质量和结果的审查和评标。</w:t>
      </w:r>
    </w:p>
    <w:p w14:paraId="7EA635FD">
      <w:pPr>
        <w:spacing w:line="360" w:lineRule="auto"/>
        <w:ind w:firstLine="480"/>
        <w:rPr>
          <w:rFonts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2.询标期间，供应商法人代表或法人委托人必须保持电话畅通。负责解答有关事宜。如不在场，则事后不得对采购过程及结果提出异议。</w:t>
      </w:r>
    </w:p>
    <w:p w14:paraId="1C7A6771">
      <w:pPr>
        <w:pStyle w:val="4"/>
        <w:spacing w:beforeLines="0" w:afterLines="0" w:line="360" w:lineRule="auto"/>
        <w:ind w:firstLine="0" w:firstLineChars="0"/>
        <w:jc w:val="center"/>
        <w:rPr>
          <w:rFonts w:ascii="宋体" w:hAnsi="宋体" w:eastAsia="宋体" w:cs="宋体"/>
          <w:color w:val="auto"/>
          <w:sz w:val="21"/>
          <w:szCs w:val="21"/>
          <w:highlight w:val="none"/>
        </w:rPr>
      </w:pPr>
      <w:bookmarkStart w:id="241" w:name="_Toc28552"/>
      <w:bookmarkStart w:id="242" w:name="_Toc3055"/>
      <w:bookmarkStart w:id="243" w:name="_Toc24529"/>
      <w:bookmarkStart w:id="244" w:name="_Toc9316"/>
      <w:bookmarkStart w:id="245" w:name="_Toc3593"/>
      <w:bookmarkStart w:id="246" w:name="_Toc22685"/>
      <w:bookmarkStart w:id="247" w:name="_Toc19351"/>
      <w:bookmarkStart w:id="248" w:name="_Toc21880"/>
      <w:r>
        <w:rPr>
          <w:rFonts w:hint="eastAsia" w:ascii="宋体" w:hAnsi="宋体" w:eastAsia="宋体" w:cs="宋体"/>
          <w:color w:val="auto"/>
          <w:sz w:val="21"/>
          <w:szCs w:val="21"/>
          <w:highlight w:val="none"/>
        </w:rPr>
        <w:t>二、评标原则</w:t>
      </w:r>
      <w:bookmarkEnd w:id="240"/>
      <w:bookmarkEnd w:id="241"/>
      <w:bookmarkEnd w:id="242"/>
      <w:bookmarkEnd w:id="243"/>
      <w:bookmarkEnd w:id="244"/>
      <w:bookmarkEnd w:id="245"/>
      <w:bookmarkEnd w:id="246"/>
      <w:bookmarkEnd w:id="247"/>
      <w:bookmarkEnd w:id="248"/>
    </w:p>
    <w:p w14:paraId="7605AB34">
      <w:pPr>
        <w:spacing w:line="360" w:lineRule="auto"/>
        <w:ind w:firstLine="480"/>
        <w:rPr>
          <w:rFonts w:ascii="宋体" w:hAnsi="宋体" w:eastAsia="宋体" w:cs="宋体"/>
          <w:color w:val="auto"/>
          <w:sz w:val="21"/>
          <w:szCs w:val="21"/>
          <w:highlight w:val="none"/>
        </w:rPr>
      </w:pPr>
      <w:bookmarkStart w:id="249" w:name="_Toc359856827"/>
      <w:r>
        <w:rPr>
          <w:rFonts w:hint="eastAsia" w:ascii="宋体" w:hAnsi="宋体" w:eastAsia="宋体" w:cs="宋体"/>
          <w:color w:val="auto"/>
          <w:sz w:val="21"/>
          <w:szCs w:val="21"/>
          <w:highlight w:val="none"/>
        </w:rPr>
        <w:t>1.本评标办法采用综合评标法，由资信技术分和商务报价分合计组成,其中商务技术分</w:t>
      </w:r>
      <w:r>
        <w:rPr>
          <w:rFonts w:hint="eastAsia" w:ascii="宋体" w:hAnsi="宋体" w:eastAsia="宋体" w:cs="宋体"/>
          <w:color w:val="auto"/>
          <w:sz w:val="21"/>
          <w:szCs w:val="21"/>
          <w:highlight w:val="none"/>
          <w:lang w:val="en-US" w:eastAsia="zh-CN"/>
        </w:rPr>
        <w:t>70</w:t>
      </w:r>
      <w:r>
        <w:rPr>
          <w:rFonts w:hint="eastAsia" w:ascii="宋体" w:hAnsi="宋体" w:eastAsia="宋体" w:cs="宋体"/>
          <w:color w:val="auto"/>
          <w:sz w:val="21"/>
          <w:szCs w:val="21"/>
          <w:highlight w:val="none"/>
        </w:rPr>
        <w:t>分、商务报价分</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分，满分为100分。</w:t>
      </w:r>
    </w:p>
    <w:p w14:paraId="4388E56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按照投标人得分由高到低顺序排列推荐中标候选人。得分相同的，按投标评审价由低到高顺序排列。得分且投标评审价相同的，按照投标文件提交时间先后顺序排列。投标文件满足招标文件全部实质性要求，且按照评审因素的量化指标评审得分最高的投标人为排名第一的中标候选人。依次类推。</w:t>
      </w:r>
    </w:p>
    <w:p w14:paraId="700F66F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3.评标委员会根据招标文件和投标文件，结合技术评分细则对各投标人的技术部分进行评审。评标委员会各成员所评分值的算术平均值即为各投标人的资信技术分值（计算时四舍五入保留二位小数）。</w:t>
      </w:r>
    </w:p>
    <w:p w14:paraId="711F78B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4.中标结果经采购人确认后，泰宇建筑工程技术咨询有限公司向中标候选人发出《中标通知书》。</w:t>
      </w:r>
      <w:bookmarkStart w:id="250" w:name="_Toc14938"/>
      <w:bookmarkStart w:id="251" w:name="_Toc6539"/>
      <w:bookmarkStart w:id="252" w:name="_Toc15135"/>
      <w:bookmarkStart w:id="253" w:name="_Toc9927"/>
      <w:bookmarkStart w:id="254" w:name="_Toc23566"/>
    </w:p>
    <w:p w14:paraId="5D61E83B">
      <w:pPr>
        <w:pStyle w:val="4"/>
        <w:spacing w:beforeLines="0" w:afterLines="0" w:line="360" w:lineRule="auto"/>
        <w:ind w:firstLine="0" w:firstLineChars="0"/>
        <w:jc w:val="center"/>
        <w:rPr>
          <w:rFonts w:ascii="宋体" w:hAnsi="宋体" w:eastAsia="宋体" w:cs="宋体"/>
          <w:color w:val="auto"/>
          <w:sz w:val="21"/>
          <w:szCs w:val="21"/>
          <w:highlight w:val="none"/>
        </w:rPr>
      </w:pPr>
      <w:bookmarkStart w:id="255" w:name="_Toc28422"/>
      <w:bookmarkStart w:id="256" w:name="_Toc26882"/>
      <w:bookmarkStart w:id="257" w:name="_Toc11535"/>
      <w:r>
        <w:rPr>
          <w:rFonts w:hint="eastAsia" w:ascii="宋体" w:hAnsi="宋体" w:eastAsia="宋体" w:cs="宋体"/>
          <w:color w:val="auto"/>
          <w:sz w:val="21"/>
          <w:szCs w:val="21"/>
          <w:highlight w:val="none"/>
        </w:rPr>
        <w:t>三、注意事项</w:t>
      </w:r>
      <w:bookmarkEnd w:id="249"/>
      <w:bookmarkEnd w:id="250"/>
      <w:bookmarkEnd w:id="251"/>
      <w:bookmarkEnd w:id="252"/>
      <w:bookmarkEnd w:id="253"/>
      <w:bookmarkEnd w:id="254"/>
      <w:bookmarkEnd w:id="255"/>
      <w:bookmarkEnd w:id="256"/>
      <w:bookmarkEnd w:id="257"/>
    </w:p>
    <w:p w14:paraId="7EC4F25A">
      <w:pPr>
        <w:spacing w:line="360" w:lineRule="auto"/>
        <w:ind w:firstLine="480"/>
        <w:rPr>
          <w:color w:val="auto"/>
          <w:highlight w:val="none"/>
        </w:rPr>
      </w:pPr>
      <w:r>
        <w:rPr>
          <w:rFonts w:hint="eastAsia" w:ascii="宋体" w:hAnsi="宋体" w:eastAsia="宋体" w:cs="宋体"/>
          <w:color w:val="auto"/>
          <w:sz w:val="21"/>
          <w:szCs w:val="21"/>
          <w:highlight w:val="none"/>
        </w:rPr>
        <w:t>评标委员会认为投标人的报价明显低于其他通过符合性审查投标人的报价，有可能影响服务质量或者不能诚信履约的，应当要求其在评标合理的时间内提供书面说明，必要时提交相关证明材料；投标人不能证明其报价合理性的，评标委员会应当将其作为无效投标处理。</w:t>
      </w:r>
      <w:bookmarkStart w:id="258" w:name="_Toc31713"/>
      <w:bookmarkStart w:id="259" w:name="_Toc21305"/>
    </w:p>
    <w:p w14:paraId="27735E0A">
      <w:pPr>
        <w:pStyle w:val="4"/>
        <w:spacing w:before="167" w:after="167"/>
        <w:ind w:firstLine="0" w:firstLineChars="0"/>
        <w:jc w:val="center"/>
        <w:rPr>
          <w:rStyle w:val="67"/>
          <w:rFonts w:ascii="宋体" w:hAnsi="宋体" w:eastAsia="宋体" w:cs="宋体"/>
          <w:b/>
          <w:bCs/>
          <w:color w:val="auto"/>
          <w:sz w:val="24"/>
          <w:szCs w:val="24"/>
          <w:highlight w:val="none"/>
        </w:rPr>
      </w:pPr>
      <w:bookmarkStart w:id="260" w:name="OLE_LINK12"/>
      <w:r>
        <w:rPr>
          <w:rFonts w:hint="eastAsia" w:ascii="宋体" w:hAnsi="宋体" w:eastAsia="宋体" w:cs="宋体"/>
          <w:color w:val="auto"/>
          <w:sz w:val="24"/>
          <w:szCs w:val="24"/>
          <w:highlight w:val="none"/>
        </w:rPr>
        <w:t>四、</w:t>
      </w:r>
      <w:bookmarkStart w:id="261" w:name="OLE_LINK14"/>
      <w:r>
        <w:rPr>
          <w:rStyle w:val="67"/>
          <w:rFonts w:hint="eastAsia" w:ascii="宋体" w:hAnsi="宋体" w:eastAsia="宋体" w:cs="宋体"/>
          <w:b/>
          <w:bCs/>
          <w:color w:val="auto"/>
          <w:sz w:val="24"/>
          <w:szCs w:val="24"/>
          <w:highlight w:val="none"/>
        </w:rPr>
        <w:t>评分标准</w:t>
      </w:r>
      <w:bookmarkEnd w:id="258"/>
      <w:bookmarkEnd w:id="259"/>
      <w:bookmarkEnd w:id="261"/>
    </w:p>
    <w:tbl>
      <w:tblPr>
        <w:tblStyle w:val="37"/>
        <w:tblW w:w="96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7"/>
        <w:gridCol w:w="1515"/>
        <w:gridCol w:w="6215"/>
        <w:gridCol w:w="1082"/>
      </w:tblGrid>
      <w:tr w14:paraId="5D6F2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8"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6A700B37">
            <w:pPr>
              <w:pStyle w:val="15"/>
              <w:tabs>
                <w:tab w:val="left" w:pos="0"/>
              </w:tabs>
              <w:spacing w:line="380" w:lineRule="exact"/>
              <w:ind w:left="0" w:leftChars="0" w:firstLine="0" w:firstLineChars="0"/>
              <w:jc w:val="both"/>
              <w:rPr>
                <w:rFonts w:hint="eastAsia" w:asciiTheme="minorEastAsia" w:hAnsiTheme="minorEastAsia" w:eastAsiaTheme="minorEastAsia" w:cstheme="minorEastAsia"/>
                <w:b/>
                <w:color w:val="auto"/>
                <w:sz w:val="24"/>
                <w:highlight w:val="none"/>
              </w:rPr>
            </w:pPr>
            <w:bookmarkStart w:id="262" w:name="OLE_LINK13"/>
            <w:r>
              <w:rPr>
                <w:rFonts w:hint="eastAsia" w:asciiTheme="minorEastAsia" w:hAnsiTheme="minorEastAsia" w:eastAsiaTheme="minorEastAsia" w:cstheme="minorEastAsia"/>
                <w:b/>
                <w:color w:val="auto"/>
                <w:sz w:val="24"/>
                <w:highlight w:val="none"/>
              </w:rPr>
              <w:t>序号</w:t>
            </w:r>
          </w:p>
        </w:tc>
        <w:tc>
          <w:tcPr>
            <w:tcW w:w="1515" w:type="dxa"/>
            <w:tcBorders>
              <w:top w:val="single" w:color="auto" w:sz="4" w:space="0"/>
              <w:left w:val="single" w:color="auto" w:sz="4" w:space="0"/>
              <w:bottom w:val="single" w:color="auto" w:sz="4" w:space="0"/>
              <w:right w:val="single" w:color="auto" w:sz="4" w:space="0"/>
            </w:tcBorders>
            <w:vAlign w:val="center"/>
          </w:tcPr>
          <w:p w14:paraId="1C9EC08C">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评审内容</w:t>
            </w:r>
          </w:p>
        </w:tc>
        <w:tc>
          <w:tcPr>
            <w:tcW w:w="6215" w:type="dxa"/>
            <w:tcBorders>
              <w:top w:val="single" w:color="auto" w:sz="4" w:space="0"/>
              <w:left w:val="single" w:color="auto" w:sz="4" w:space="0"/>
              <w:bottom w:val="single" w:color="auto" w:sz="4" w:space="0"/>
              <w:right w:val="single" w:color="auto" w:sz="4" w:space="0"/>
            </w:tcBorders>
            <w:vAlign w:val="center"/>
          </w:tcPr>
          <w:p w14:paraId="0CD7ED59">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评分标准</w:t>
            </w:r>
          </w:p>
        </w:tc>
        <w:tc>
          <w:tcPr>
            <w:tcW w:w="1082" w:type="dxa"/>
            <w:tcBorders>
              <w:top w:val="single" w:color="auto" w:sz="4" w:space="0"/>
              <w:left w:val="single" w:color="auto" w:sz="4" w:space="0"/>
              <w:bottom w:val="single" w:color="auto" w:sz="4" w:space="0"/>
              <w:right w:val="single" w:color="auto" w:sz="4" w:space="0"/>
            </w:tcBorders>
            <w:vAlign w:val="center"/>
          </w:tcPr>
          <w:p w14:paraId="45BBF720">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分值</w:t>
            </w:r>
          </w:p>
        </w:tc>
      </w:tr>
      <w:tr w14:paraId="785D50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395F28EB">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Cs/>
                <w:color w:val="auto"/>
                <w:kern w:val="2"/>
                <w:sz w:val="24"/>
                <w:szCs w:val="24"/>
                <w:highlight w:val="none"/>
                <w:lang w:val="en-US" w:eastAsia="zh-CN" w:bidi="ar-SA"/>
              </w:rPr>
            </w:pPr>
            <w:r>
              <w:rPr>
                <w:rFonts w:hint="eastAsia" w:asciiTheme="minorEastAsia" w:hAnsiTheme="minorEastAsia" w:eastAsiaTheme="minorEastAsia" w:cstheme="minorEastAsia"/>
                <w:bCs/>
                <w:color w:val="auto"/>
                <w:kern w:val="2"/>
                <w:sz w:val="24"/>
                <w:szCs w:val="24"/>
                <w:highlight w:val="none"/>
                <w:lang w:val="en-US" w:eastAsia="zh-CN" w:bidi="ar-SA"/>
              </w:rPr>
              <w:t>1</w:t>
            </w:r>
          </w:p>
        </w:tc>
        <w:tc>
          <w:tcPr>
            <w:tcW w:w="1515" w:type="dxa"/>
            <w:tcBorders>
              <w:top w:val="single" w:color="auto" w:sz="4" w:space="0"/>
              <w:left w:val="single" w:color="auto" w:sz="4" w:space="0"/>
              <w:bottom w:val="single" w:color="auto" w:sz="4" w:space="0"/>
              <w:right w:val="single" w:color="auto" w:sz="4" w:space="0"/>
            </w:tcBorders>
            <w:vAlign w:val="center"/>
          </w:tcPr>
          <w:p w14:paraId="5C47B0A8">
            <w:pPr>
              <w:spacing w:line="240" w:lineRule="auto"/>
              <w:ind w:firstLine="0" w:firstLineChars="0"/>
              <w:jc w:val="center"/>
              <w:rPr>
                <w:rFonts w:hint="eastAsia" w:asciiTheme="minorEastAsia" w:hAnsiTheme="minorEastAsia" w:eastAsiaTheme="minorEastAsia" w:cstheme="minorEastAsia"/>
                <w:bCs/>
                <w:color w:val="auto"/>
                <w:kern w:val="2"/>
                <w:sz w:val="21"/>
                <w:szCs w:val="21"/>
                <w:highlight w:val="none"/>
                <w:lang w:val="en-US" w:eastAsia="zh-CN" w:bidi="ar-SA"/>
              </w:rPr>
            </w:pPr>
            <w:r>
              <w:rPr>
                <w:rFonts w:hint="eastAsia" w:asciiTheme="minorEastAsia" w:hAnsiTheme="minorEastAsia" w:eastAsiaTheme="minorEastAsia" w:cstheme="minorEastAsia"/>
                <w:bCs/>
                <w:color w:val="auto"/>
                <w:kern w:val="2"/>
                <w:sz w:val="21"/>
                <w:szCs w:val="21"/>
                <w:highlight w:val="none"/>
                <w:lang w:val="en-US" w:eastAsia="zh-CN" w:bidi="ar-SA"/>
              </w:rPr>
              <w:t>报价部分</w:t>
            </w:r>
          </w:p>
        </w:tc>
        <w:tc>
          <w:tcPr>
            <w:tcW w:w="6215" w:type="dxa"/>
            <w:tcBorders>
              <w:top w:val="single" w:color="auto" w:sz="4" w:space="0"/>
              <w:left w:val="single" w:color="auto" w:sz="4" w:space="0"/>
              <w:bottom w:val="single" w:color="auto" w:sz="4" w:space="0"/>
              <w:right w:val="single" w:color="auto" w:sz="4" w:space="0"/>
            </w:tcBorders>
            <w:vAlign w:val="center"/>
          </w:tcPr>
          <w:p w14:paraId="1D6C4326">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(1)最高限价：28万元；</w:t>
            </w:r>
          </w:p>
          <w:p w14:paraId="4DEDC9DE">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(2)价格分采用低价优先法计算，即满足招标文件要求且报价最低的为评标基准价；</w:t>
            </w:r>
          </w:p>
          <w:p w14:paraId="62AF6BDB">
            <w:pPr>
              <w:spacing w:line="240" w:lineRule="auto"/>
              <w:ind w:left="0" w:leftChars="0" w:firstLine="210" w:firstLineChars="10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(3)投标报价得分＝评标基准价/投标人报价×30（保留小数二位，第三位四舍五入）；</w:t>
            </w:r>
          </w:p>
          <w:p w14:paraId="1114F2EE">
            <w:pPr>
              <w:spacing w:line="240" w:lineRule="auto"/>
              <w:ind w:left="0" w:leftChars="0" w:firstLine="210" w:firstLineChars="100"/>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pacing w:val="-11"/>
                <w:sz w:val="21"/>
                <w:szCs w:val="21"/>
                <w:highlight w:val="none"/>
                <w:lang w:val="en-US" w:eastAsia="zh-CN"/>
              </w:rPr>
              <w:t>对小微企业提供的服务给予10%的扣除，用扣除后的价格参与评审；</w:t>
            </w:r>
          </w:p>
        </w:tc>
        <w:tc>
          <w:tcPr>
            <w:tcW w:w="1082" w:type="dxa"/>
            <w:tcBorders>
              <w:top w:val="single" w:color="auto" w:sz="4" w:space="0"/>
              <w:left w:val="single" w:color="auto" w:sz="4" w:space="0"/>
              <w:bottom w:val="single" w:color="auto" w:sz="4" w:space="0"/>
              <w:right w:val="single" w:color="auto" w:sz="4" w:space="0"/>
            </w:tcBorders>
            <w:vAlign w:val="center"/>
          </w:tcPr>
          <w:p w14:paraId="77EE6827">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val="0"/>
                <w:bCs w:val="0"/>
                <w:color w:val="auto"/>
                <w:sz w:val="21"/>
                <w:szCs w:val="21"/>
                <w:highlight w:val="none"/>
                <w:lang w:val="en-US" w:eastAsia="zh-CN"/>
              </w:rPr>
              <w:t>30</w:t>
            </w:r>
            <w:r>
              <w:rPr>
                <w:rFonts w:hint="eastAsia" w:asciiTheme="minorEastAsia" w:hAnsiTheme="minorEastAsia" w:eastAsiaTheme="minorEastAsia" w:cstheme="minorEastAsia"/>
                <w:b w:val="0"/>
                <w:bCs w:val="0"/>
                <w:color w:val="auto"/>
                <w:sz w:val="21"/>
                <w:szCs w:val="21"/>
                <w:highlight w:val="none"/>
              </w:rPr>
              <w:t>分</w:t>
            </w:r>
          </w:p>
        </w:tc>
      </w:tr>
      <w:tr w14:paraId="26590C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8527" w:type="dxa"/>
            <w:gridSpan w:val="3"/>
            <w:tcBorders>
              <w:top w:val="single" w:color="auto" w:sz="4" w:space="0"/>
              <w:left w:val="single" w:color="auto" w:sz="4" w:space="0"/>
              <w:bottom w:val="single" w:color="auto" w:sz="4" w:space="0"/>
              <w:right w:val="single" w:color="auto" w:sz="4" w:space="0"/>
            </w:tcBorders>
            <w:vAlign w:val="center"/>
          </w:tcPr>
          <w:p w14:paraId="43206DD5">
            <w:pPr>
              <w:pStyle w:val="15"/>
              <w:tabs>
                <w:tab w:val="left" w:pos="0"/>
              </w:tabs>
              <w:spacing w:line="380" w:lineRule="exact"/>
              <w:ind w:left="0" w:leftChars="0" w:firstLine="0" w:firstLineChars="0"/>
              <w:jc w:val="left"/>
              <w:rPr>
                <w:rFonts w:hint="eastAsia" w:asciiTheme="minorEastAsia" w:hAnsiTheme="minorEastAsia" w:eastAsiaTheme="minorEastAsia" w:cstheme="minorEastAsia"/>
                <w:b/>
                <w:color w:val="auto"/>
                <w:sz w:val="24"/>
                <w:highlight w:val="none"/>
              </w:rPr>
            </w:pPr>
            <w:bookmarkStart w:id="263" w:name="OLE_LINK3"/>
            <w:r>
              <w:rPr>
                <w:rFonts w:hint="eastAsia" w:asciiTheme="minorEastAsia" w:hAnsiTheme="minorEastAsia" w:eastAsiaTheme="minorEastAsia" w:cstheme="minorEastAsia"/>
                <w:b/>
                <w:color w:val="auto"/>
                <w:sz w:val="24"/>
                <w:highlight w:val="none"/>
                <w:lang w:val="en-US" w:eastAsia="zh-CN"/>
              </w:rPr>
              <w:t>资信</w:t>
            </w:r>
            <w:r>
              <w:rPr>
                <w:rFonts w:hint="eastAsia" w:asciiTheme="minorEastAsia" w:hAnsiTheme="minorEastAsia" w:eastAsiaTheme="minorEastAsia" w:cstheme="minorEastAsia"/>
                <w:b/>
                <w:color w:val="auto"/>
                <w:sz w:val="24"/>
                <w:highlight w:val="none"/>
              </w:rPr>
              <w:t>技术</w:t>
            </w:r>
            <w:bookmarkEnd w:id="263"/>
            <w:r>
              <w:rPr>
                <w:rFonts w:hint="eastAsia" w:asciiTheme="minorEastAsia" w:hAnsiTheme="minorEastAsia" w:eastAsiaTheme="minorEastAsia" w:cstheme="minorEastAsia"/>
                <w:b/>
                <w:color w:val="auto"/>
                <w:sz w:val="24"/>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04FE0A67">
            <w:pPr>
              <w:pStyle w:val="15"/>
              <w:tabs>
                <w:tab w:val="left" w:pos="0"/>
              </w:tabs>
              <w:spacing w:line="380" w:lineRule="exact"/>
              <w:ind w:left="0" w:leftChars="0" w:firstLine="0" w:firstLineChars="0"/>
              <w:jc w:val="center"/>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lang w:val="en-US" w:eastAsia="zh-CN"/>
              </w:rPr>
              <w:t>70</w:t>
            </w:r>
            <w:r>
              <w:rPr>
                <w:rFonts w:hint="eastAsia" w:asciiTheme="minorEastAsia" w:hAnsiTheme="minorEastAsia" w:eastAsiaTheme="minorEastAsia" w:cstheme="minorEastAsia"/>
                <w:b/>
                <w:color w:val="auto"/>
                <w:sz w:val="24"/>
                <w:highlight w:val="none"/>
              </w:rPr>
              <w:t>分</w:t>
            </w:r>
          </w:p>
        </w:tc>
      </w:tr>
      <w:tr w14:paraId="166F36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57138C4B">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2</w:t>
            </w:r>
          </w:p>
        </w:tc>
        <w:tc>
          <w:tcPr>
            <w:tcW w:w="1515" w:type="dxa"/>
            <w:tcBorders>
              <w:top w:val="single" w:color="auto" w:sz="4" w:space="0"/>
              <w:left w:val="single" w:color="auto" w:sz="4" w:space="0"/>
              <w:bottom w:val="single" w:color="auto" w:sz="4" w:space="0"/>
              <w:right w:val="single" w:color="auto" w:sz="4" w:space="0"/>
            </w:tcBorders>
            <w:vAlign w:val="center"/>
          </w:tcPr>
          <w:p w14:paraId="52A365FC">
            <w:pPr>
              <w:ind w:firstLine="0" w:firstLineChars="0"/>
              <w:jc w:val="center"/>
              <w:rPr>
                <w:rFonts w:hint="eastAsia" w:asciiTheme="minorEastAsia" w:hAnsiTheme="minorEastAsia" w:eastAsiaTheme="minorEastAsia" w:cstheme="minorEastAsia"/>
                <w:bCs/>
                <w:color w:val="auto"/>
                <w:sz w:val="21"/>
                <w:szCs w:val="21"/>
                <w:highlight w:val="none"/>
                <w:lang w:val="en-US" w:eastAsia="zh-CN"/>
              </w:rPr>
            </w:pPr>
            <w:r>
              <w:rPr>
                <w:rFonts w:hint="eastAsia" w:ascii="宋体" w:hAnsi="宋体" w:eastAsia="宋体"/>
                <w:color w:val="auto"/>
                <w:kern w:val="0"/>
                <w:sz w:val="21"/>
                <w:szCs w:val="21"/>
                <w:highlight w:val="none"/>
              </w:rPr>
              <w:t>类似业绩</w:t>
            </w:r>
          </w:p>
        </w:tc>
        <w:tc>
          <w:tcPr>
            <w:tcW w:w="6215" w:type="dxa"/>
            <w:tcBorders>
              <w:top w:val="single" w:color="auto" w:sz="4" w:space="0"/>
              <w:left w:val="single" w:color="auto" w:sz="4" w:space="0"/>
              <w:bottom w:val="single" w:color="auto" w:sz="4" w:space="0"/>
              <w:right w:val="single" w:color="auto" w:sz="4" w:space="0"/>
            </w:tcBorders>
            <w:vAlign w:val="center"/>
          </w:tcPr>
          <w:p w14:paraId="1C7F525C">
            <w:pPr>
              <w:ind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20</w:t>
            </w:r>
            <w:r>
              <w:rPr>
                <w:rFonts w:hint="eastAsia" w:ascii="宋体" w:hAnsi="宋体" w:eastAsia="宋体" w:cs="Times New Roman"/>
                <w:color w:val="auto"/>
                <w:kern w:val="0"/>
                <w:sz w:val="21"/>
                <w:szCs w:val="21"/>
                <w:highlight w:val="none"/>
                <w:lang w:val="en-US" w:eastAsia="zh-CN"/>
              </w:rPr>
              <w:t>22</w:t>
            </w:r>
            <w:r>
              <w:rPr>
                <w:rFonts w:hint="eastAsia" w:ascii="宋体" w:hAnsi="宋体" w:eastAsia="宋体" w:cs="Times New Roman"/>
                <w:color w:val="auto"/>
                <w:kern w:val="0"/>
                <w:sz w:val="21"/>
                <w:szCs w:val="21"/>
                <w:highlight w:val="none"/>
              </w:rPr>
              <w:t>年1月1日到至今，承担过政府机关、企业、事业单位的</w:t>
            </w:r>
            <w:r>
              <w:rPr>
                <w:rFonts w:hint="eastAsia" w:ascii="宋体" w:hAnsi="宋体" w:eastAsia="宋体" w:cs="Times New Roman"/>
                <w:color w:val="auto"/>
                <w:kern w:val="0"/>
                <w:sz w:val="21"/>
                <w:szCs w:val="21"/>
                <w:highlight w:val="none"/>
                <w:lang w:eastAsia="zh-CN"/>
              </w:rPr>
              <w:t>劳务承包</w:t>
            </w:r>
            <w:r>
              <w:rPr>
                <w:rFonts w:hint="eastAsia" w:ascii="宋体" w:hAnsi="宋体" w:eastAsia="宋体" w:cs="Times New Roman"/>
                <w:color w:val="auto"/>
                <w:kern w:val="0"/>
                <w:sz w:val="21"/>
                <w:szCs w:val="21"/>
                <w:highlight w:val="none"/>
              </w:rPr>
              <w:t>项目业绩，每个业绩得</w:t>
            </w:r>
            <w:r>
              <w:rPr>
                <w:rFonts w:hint="eastAsia" w:ascii="宋体" w:hAnsi="宋体" w:eastAsia="宋体" w:cs="Times New Roman"/>
                <w:color w:val="auto"/>
                <w:kern w:val="0"/>
                <w:sz w:val="21"/>
                <w:szCs w:val="21"/>
                <w:highlight w:val="none"/>
                <w:lang w:val="en-US" w:eastAsia="zh-CN"/>
              </w:rPr>
              <w:t>1.5</w:t>
            </w:r>
            <w:r>
              <w:rPr>
                <w:rFonts w:hint="eastAsia" w:ascii="宋体" w:hAnsi="宋体" w:eastAsia="宋体" w:cs="Times New Roman"/>
                <w:color w:val="auto"/>
                <w:kern w:val="0"/>
                <w:sz w:val="21"/>
                <w:szCs w:val="21"/>
                <w:highlight w:val="none"/>
              </w:rPr>
              <w:t>分，最高得</w:t>
            </w:r>
            <w:r>
              <w:rPr>
                <w:rFonts w:hint="eastAsia" w:ascii="宋体" w:hAnsi="宋体" w:eastAsia="宋体" w:cs="Times New Roman"/>
                <w:color w:val="auto"/>
                <w:kern w:val="0"/>
                <w:sz w:val="21"/>
                <w:szCs w:val="21"/>
                <w:highlight w:val="none"/>
                <w:lang w:val="en-US" w:eastAsia="zh-CN"/>
              </w:rPr>
              <w:t>3</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59D2CA0C">
            <w:pPr>
              <w:ind w:firstLine="0" w:firstLineChars="0"/>
              <w:jc w:val="left"/>
              <w:rPr>
                <w:rFonts w:hint="eastAsia" w:asciiTheme="minorEastAsia" w:hAnsiTheme="minorEastAsia" w:eastAsiaTheme="minorEastAsia" w:cstheme="minorEastAsia"/>
                <w:bCs/>
                <w:color w:val="auto"/>
                <w:sz w:val="21"/>
                <w:szCs w:val="21"/>
                <w:highlight w:val="none"/>
              </w:rPr>
            </w:pPr>
            <w:r>
              <w:rPr>
                <w:rFonts w:hint="eastAsia" w:ascii="宋体" w:hAnsi="宋体" w:eastAsia="宋体" w:cs="Times New Roman"/>
                <w:color w:val="auto"/>
                <w:kern w:val="0"/>
                <w:sz w:val="21"/>
                <w:szCs w:val="21"/>
                <w:highlight w:val="none"/>
              </w:rPr>
              <w:t>（须提供合同复制件或中标通知书，否则不得分）。</w:t>
            </w:r>
          </w:p>
        </w:tc>
        <w:tc>
          <w:tcPr>
            <w:tcW w:w="1082" w:type="dxa"/>
            <w:tcBorders>
              <w:top w:val="single" w:color="auto" w:sz="4" w:space="0"/>
              <w:left w:val="single" w:color="auto" w:sz="4" w:space="0"/>
              <w:bottom w:val="single" w:color="auto" w:sz="4" w:space="0"/>
              <w:right w:val="single" w:color="auto" w:sz="4" w:space="0"/>
            </w:tcBorders>
            <w:vAlign w:val="center"/>
          </w:tcPr>
          <w:p w14:paraId="605EAB69">
            <w:pPr>
              <w:spacing w:line="550" w:lineRule="exact"/>
              <w:ind w:left="0" w:leftChars="0" w:firstLine="0" w:firstLineChars="0"/>
              <w:jc w:val="center"/>
              <w:rPr>
                <w:rFonts w:hint="eastAsia" w:asciiTheme="minorEastAsia" w:hAnsiTheme="minorEastAsia" w:eastAsiaTheme="minorEastAsia" w:cstheme="minorEastAsia"/>
                <w:b w:val="0"/>
                <w:bCs w:val="0"/>
                <w:color w:val="auto"/>
                <w:kern w:val="2"/>
                <w:sz w:val="21"/>
                <w:szCs w:val="21"/>
                <w:highlight w:val="none"/>
                <w:lang w:val="en-US" w:eastAsia="zh-CN" w:bidi="ar-SA"/>
              </w:rPr>
            </w:pPr>
            <w:r>
              <w:rPr>
                <w:rFonts w:hint="eastAsia" w:asciiTheme="minorEastAsia" w:hAnsiTheme="minorEastAsia" w:eastAsiaTheme="minorEastAsia" w:cstheme="minorEastAsia"/>
                <w:b w:val="0"/>
                <w:bCs w:val="0"/>
                <w:color w:val="auto"/>
                <w:kern w:val="2"/>
                <w:sz w:val="21"/>
                <w:szCs w:val="21"/>
                <w:highlight w:val="none"/>
                <w:lang w:val="en-US" w:eastAsia="zh-CN" w:bidi="ar-SA"/>
              </w:rPr>
              <w:t>0-3分</w:t>
            </w:r>
          </w:p>
        </w:tc>
      </w:tr>
      <w:tr w14:paraId="542F28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right w:val="single" w:color="auto" w:sz="4" w:space="0"/>
            </w:tcBorders>
            <w:vAlign w:val="center"/>
          </w:tcPr>
          <w:p w14:paraId="1ABFBDE2">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3</w:t>
            </w:r>
          </w:p>
        </w:tc>
        <w:tc>
          <w:tcPr>
            <w:tcW w:w="1515" w:type="dxa"/>
            <w:tcBorders>
              <w:top w:val="single" w:color="auto" w:sz="4" w:space="0"/>
              <w:left w:val="single" w:color="auto" w:sz="4" w:space="0"/>
              <w:right w:val="single" w:color="auto" w:sz="4" w:space="0"/>
            </w:tcBorders>
            <w:vAlign w:val="center"/>
          </w:tcPr>
          <w:p w14:paraId="1CF591BC">
            <w:pPr>
              <w:ind w:firstLine="0" w:firstLineChars="0"/>
              <w:jc w:val="center"/>
              <w:rPr>
                <w:rFonts w:hint="eastAsia" w:asciiTheme="minorEastAsia" w:hAnsiTheme="minorEastAsia" w:eastAsiaTheme="minorEastAsia" w:cstheme="minorEastAsia"/>
                <w:bCs/>
                <w:color w:val="auto"/>
                <w:sz w:val="21"/>
                <w:szCs w:val="21"/>
                <w:highlight w:val="none"/>
                <w:lang w:val="en-US" w:eastAsia="zh-CN"/>
              </w:rPr>
            </w:pPr>
            <w:r>
              <w:rPr>
                <w:rFonts w:hint="eastAsia" w:ascii="宋体" w:hAnsi="宋体" w:eastAsia="宋体" w:cs="Times New Roman"/>
                <w:color w:val="auto"/>
                <w:kern w:val="0"/>
                <w:sz w:val="21"/>
                <w:szCs w:val="21"/>
                <w:highlight w:val="none"/>
              </w:rPr>
              <w:t>企业管理</w:t>
            </w:r>
          </w:p>
        </w:tc>
        <w:tc>
          <w:tcPr>
            <w:tcW w:w="6215" w:type="dxa"/>
            <w:tcBorders>
              <w:top w:val="single" w:color="auto" w:sz="4" w:space="0"/>
              <w:left w:val="single" w:color="auto" w:sz="4" w:space="0"/>
              <w:bottom w:val="single" w:color="auto" w:sz="4" w:space="0"/>
              <w:right w:val="single" w:color="auto" w:sz="4" w:space="0"/>
            </w:tcBorders>
            <w:vAlign w:val="center"/>
          </w:tcPr>
          <w:p w14:paraId="3CFE8C25">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具有质量管理体系认证ISO9001证书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6049F990">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2、</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具有环境管理体系认证ISO14001证书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34FB5D87">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lang w:val="en-US" w:eastAsia="zh-CN"/>
              </w:rPr>
              <w:t>3、</w:t>
            </w:r>
            <w:r>
              <w:rPr>
                <w:rFonts w:hint="eastAsia" w:ascii="宋体" w:hAnsi="宋体" w:eastAsia="宋体" w:cs="Times New Roman"/>
                <w:color w:val="auto"/>
                <w:kern w:val="0"/>
                <w:sz w:val="21"/>
                <w:szCs w:val="21"/>
                <w:highlight w:val="none"/>
                <w:lang w:eastAsia="zh-CN"/>
              </w:rPr>
              <w:t>投标人</w:t>
            </w:r>
            <w:r>
              <w:rPr>
                <w:rFonts w:hint="eastAsia" w:ascii="宋体" w:hAnsi="宋体" w:eastAsia="宋体" w:cs="Times New Roman"/>
                <w:color w:val="auto"/>
                <w:kern w:val="0"/>
                <w:sz w:val="21"/>
                <w:szCs w:val="21"/>
                <w:highlight w:val="none"/>
              </w:rPr>
              <w:t>具有职业健康安全管理体系认证ISO45001证书</w:t>
            </w:r>
            <w:r>
              <w:rPr>
                <w:rFonts w:hint="eastAsia" w:ascii="宋体" w:hAnsi="宋体" w:eastAsia="宋体" w:cs="Times New Roman"/>
                <w:color w:val="auto"/>
                <w:kern w:val="0"/>
                <w:sz w:val="21"/>
                <w:szCs w:val="21"/>
                <w:highlight w:val="none"/>
                <w:lang w:eastAsia="zh-CN"/>
              </w:rPr>
              <w:t>的</w:t>
            </w:r>
            <w:r>
              <w:rPr>
                <w:rFonts w:hint="eastAsia" w:ascii="宋体" w:hAnsi="宋体" w:eastAsia="宋体" w:cs="Times New Roman"/>
                <w:color w:val="auto"/>
                <w:kern w:val="0"/>
                <w:sz w:val="21"/>
                <w:szCs w:val="21"/>
                <w:highlight w:val="none"/>
              </w:rPr>
              <w:t>得</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eastAsia="zh-CN"/>
              </w:rPr>
              <w:t>。</w:t>
            </w:r>
          </w:p>
          <w:p w14:paraId="19D288B2">
            <w:pPr>
              <w:widowControl/>
              <w:snapToGrid w:val="0"/>
              <w:spacing w:line="360" w:lineRule="auto"/>
              <w:ind w:firstLine="210" w:firstLineChars="100"/>
              <w:jc w:val="left"/>
              <w:rPr>
                <w:rFonts w:hint="eastAsia" w:eastAsia="宋体" w:asciiTheme="minorEastAsia" w:hAnsiTheme="minorEastAsia" w:cstheme="minorEastAsia"/>
                <w:bCs/>
                <w:color w:val="auto"/>
                <w:sz w:val="21"/>
                <w:szCs w:val="21"/>
                <w:highlight w:val="none"/>
                <w:lang w:eastAsia="zh-CN"/>
              </w:rPr>
            </w:pPr>
            <w:r>
              <w:rPr>
                <w:rFonts w:hint="eastAsia" w:ascii="宋体" w:hAnsi="宋体" w:eastAsia="宋体" w:cs="Times New Roman"/>
                <w:color w:val="auto"/>
                <w:kern w:val="0"/>
                <w:sz w:val="21"/>
                <w:szCs w:val="21"/>
                <w:highlight w:val="none"/>
                <w:lang w:val="en-US" w:eastAsia="zh-CN"/>
              </w:rPr>
              <w:t>注：须提供证书原件复制件编入投标文件中，否则不得分。</w:t>
            </w:r>
          </w:p>
        </w:tc>
        <w:tc>
          <w:tcPr>
            <w:tcW w:w="1082" w:type="dxa"/>
            <w:tcBorders>
              <w:top w:val="single" w:color="auto" w:sz="4" w:space="0"/>
              <w:left w:val="single" w:color="auto" w:sz="4" w:space="0"/>
              <w:bottom w:val="single" w:color="auto" w:sz="4" w:space="0"/>
              <w:right w:val="single" w:color="auto" w:sz="4" w:space="0"/>
            </w:tcBorders>
            <w:vAlign w:val="center"/>
          </w:tcPr>
          <w:p w14:paraId="537562D2">
            <w:pPr>
              <w:spacing w:line="550" w:lineRule="exact"/>
              <w:ind w:left="0" w:leftChars="0" w:firstLine="0" w:firstLineChars="0"/>
              <w:jc w:val="center"/>
              <w:rPr>
                <w:rFonts w:hint="eastAsia" w:asciiTheme="minorEastAsia" w:hAnsiTheme="minorEastAsia" w:eastAsiaTheme="minorEastAsia" w:cstheme="minorEastAsia"/>
                <w:b w:val="0"/>
                <w:bCs w:val="0"/>
                <w:color w:val="auto"/>
                <w:kern w:val="2"/>
                <w:sz w:val="21"/>
                <w:szCs w:val="21"/>
                <w:highlight w:val="none"/>
                <w:lang w:val="en-US" w:eastAsia="zh-CN" w:bidi="ar-SA"/>
              </w:rPr>
            </w:pPr>
            <w:r>
              <w:rPr>
                <w:rFonts w:hint="eastAsia" w:asciiTheme="minorEastAsia" w:hAnsiTheme="minorEastAsia" w:eastAsiaTheme="minorEastAsia" w:cstheme="minorEastAsia"/>
                <w:b w:val="0"/>
                <w:bCs w:val="0"/>
                <w:color w:val="auto"/>
                <w:kern w:val="2"/>
                <w:sz w:val="21"/>
                <w:szCs w:val="21"/>
                <w:highlight w:val="none"/>
                <w:lang w:val="en-US" w:eastAsia="zh-CN" w:bidi="ar-SA"/>
              </w:rPr>
              <w:t>0-3分</w:t>
            </w:r>
          </w:p>
        </w:tc>
      </w:tr>
      <w:tr w14:paraId="144C8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68052C14">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4</w:t>
            </w:r>
          </w:p>
        </w:tc>
        <w:tc>
          <w:tcPr>
            <w:tcW w:w="1515" w:type="dxa"/>
            <w:tcBorders>
              <w:top w:val="single" w:color="auto" w:sz="4" w:space="0"/>
              <w:left w:val="single" w:color="auto" w:sz="4" w:space="0"/>
              <w:bottom w:val="single" w:color="auto" w:sz="4" w:space="0"/>
              <w:right w:val="single" w:color="auto" w:sz="4" w:space="0"/>
            </w:tcBorders>
            <w:vAlign w:val="center"/>
          </w:tcPr>
          <w:p w14:paraId="5D96098A">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人员配置情况</w:t>
            </w:r>
          </w:p>
        </w:tc>
        <w:tc>
          <w:tcPr>
            <w:tcW w:w="6215" w:type="dxa"/>
            <w:tcBorders>
              <w:top w:val="single" w:color="auto" w:sz="4" w:space="0"/>
              <w:left w:val="single" w:color="auto" w:sz="4" w:space="0"/>
              <w:bottom w:val="single" w:color="auto" w:sz="4" w:space="0"/>
              <w:right w:val="single" w:color="auto" w:sz="4" w:space="0"/>
            </w:tcBorders>
            <w:vAlign w:val="center"/>
          </w:tcPr>
          <w:p w14:paraId="211583C3">
            <w:pPr>
              <w:widowControl/>
              <w:snapToGrid w:val="0"/>
              <w:spacing w:line="360" w:lineRule="auto"/>
              <w:ind w:firstLine="210" w:firstLineChars="100"/>
              <w:jc w:val="left"/>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拟投入本项目的</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人员在完全满足招标文件需求的前提下，根据配备情况及人员持证情况</w:t>
            </w:r>
            <w:r>
              <w:rPr>
                <w:rFonts w:hint="eastAsia" w:ascii="宋体" w:hAnsi="宋体" w:eastAsia="宋体" w:cs="Times New Roman"/>
                <w:color w:val="auto"/>
                <w:kern w:val="0"/>
                <w:sz w:val="21"/>
                <w:szCs w:val="21"/>
                <w:highlight w:val="none"/>
                <w:lang w:val="en-US" w:eastAsia="zh-CN"/>
              </w:rPr>
              <w:t>综合打分。（提供相关证书复制件）</w:t>
            </w:r>
          </w:p>
        </w:tc>
        <w:tc>
          <w:tcPr>
            <w:tcW w:w="1082" w:type="dxa"/>
            <w:tcBorders>
              <w:top w:val="single" w:color="auto" w:sz="4" w:space="0"/>
              <w:left w:val="single" w:color="auto" w:sz="4" w:space="0"/>
              <w:bottom w:val="single" w:color="auto" w:sz="4" w:space="0"/>
              <w:right w:val="single" w:color="auto" w:sz="4" w:space="0"/>
            </w:tcBorders>
            <w:vAlign w:val="center"/>
          </w:tcPr>
          <w:p w14:paraId="1E6B17C1">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lang w:val="en-US" w:eastAsia="zh-CN"/>
              </w:rPr>
              <w:t>0-10分</w:t>
            </w:r>
          </w:p>
        </w:tc>
      </w:tr>
      <w:tr w14:paraId="02AB1B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0" w:hRule="atLeast"/>
          <w:jc w:val="center"/>
        </w:trPr>
        <w:tc>
          <w:tcPr>
            <w:tcW w:w="797" w:type="dxa"/>
            <w:tcBorders>
              <w:top w:val="single" w:color="auto" w:sz="4" w:space="0"/>
              <w:left w:val="single" w:color="auto" w:sz="4" w:space="0"/>
              <w:right w:val="single" w:color="auto" w:sz="4" w:space="0"/>
            </w:tcBorders>
            <w:vAlign w:val="center"/>
          </w:tcPr>
          <w:p w14:paraId="680736A1">
            <w:pPr>
              <w:spacing w:line="550" w:lineRule="exact"/>
              <w:ind w:left="0" w:leftChars="0" w:firstLine="0" w:firstLineChars="0"/>
              <w:jc w:val="center"/>
              <w:rPr>
                <w:rFonts w:hint="default"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5</w:t>
            </w:r>
          </w:p>
        </w:tc>
        <w:tc>
          <w:tcPr>
            <w:tcW w:w="1515" w:type="dxa"/>
            <w:tcBorders>
              <w:top w:val="single" w:color="auto" w:sz="4" w:space="0"/>
              <w:left w:val="single" w:color="auto" w:sz="4" w:space="0"/>
              <w:right w:val="single" w:color="auto" w:sz="4" w:space="0"/>
            </w:tcBorders>
            <w:vAlign w:val="center"/>
          </w:tcPr>
          <w:p w14:paraId="4F9445E0">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服务组织方案及组织程序的合理性</w:t>
            </w:r>
          </w:p>
        </w:tc>
        <w:tc>
          <w:tcPr>
            <w:tcW w:w="6215" w:type="dxa"/>
            <w:tcBorders>
              <w:top w:val="single" w:color="auto" w:sz="4" w:space="0"/>
              <w:left w:val="single" w:color="auto" w:sz="4" w:space="0"/>
              <w:bottom w:val="single" w:color="auto" w:sz="4" w:space="0"/>
              <w:right w:val="single" w:color="auto" w:sz="4" w:space="0"/>
            </w:tcBorders>
            <w:vAlign w:val="center"/>
          </w:tcPr>
          <w:p w14:paraId="42D547A5">
            <w:pPr>
              <w:widowControl/>
              <w:snapToGrid w:val="0"/>
              <w:spacing w:line="360" w:lineRule="auto"/>
              <w:ind w:firstLine="210" w:firstLineChars="10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充分认知项目的工作特点，服务思路清晰，逻辑性强，</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人员配置合理，有利于本项目的顺利实施，程序合理，有较强的操作性，酌情得</w:t>
            </w:r>
            <w:r>
              <w:rPr>
                <w:rFonts w:hint="eastAsia" w:ascii="宋体" w:hAnsi="宋体" w:eastAsia="宋体" w:cs="Times New Roman"/>
                <w:color w:val="auto"/>
                <w:kern w:val="0"/>
                <w:sz w:val="21"/>
                <w:szCs w:val="21"/>
                <w:highlight w:val="none"/>
                <w:lang w:val="en-US" w:eastAsia="zh-CN"/>
              </w:rPr>
              <w:t>8</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11</w:t>
            </w:r>
            <w:r>
              <w:rPr>
                <w:rFonts w:hint="eastAsia" w:ascii="宋体" w:hAnsi="宋体" w:eastAsia="宋体" w:cs="Times New Roman"/>
                <w:color w:val="auto"/>
                <w:kern w:val="0"/>
                <w:sz w:val="21"/>
                <w:szCs w:val="21"/>
                <w:highlight w:val="none"/>
              </w:rPr>
              <w:t>分；有相关内容，</w:t>
            </w:r>
            <w:r>
              <w:rPr>
                <w:rFonts w:hint="eastAsia" w:ascii="宋体" w:hAnsi="宋体" w:eastAsia="宋体" w:cs="Times New Roman"/>
                <w:color w:val="auto"/>
                <w:kern w:val="0"/>
                <w:sz w:val="21"/>
                <w:szCs w:val="21"/>
                <w:highlight w:val="none"/>
                <w:lang w:val="en-US" w:eastAsia="zh-CN"/>
              </w:rPr>
              <w:t>人员配置一般、</w:t>
            </w:r>
            <w:r>
              <w:rPr>
                <w:rFonts w:hint="eastAsia" w:ascii="宋体" w:hAnsi="宋体" w:eastAsia="宋体" w:cs="Times New Roman"/>
                <w:color w:val="auto"/>
                <w:kern w:val="0"/>
                <w:sz w:val="21"/>
                <w:szCs w:val="21"/>
                <w:highlight w:val="none"/>
              </w:rPr>
              <w:t>可操作性</w:t>
            </w:r>
            <w:r>
              <w:rPr>
                <w:rFonts w:hint="eastAsia" w:ascii="宋体" w:hAnsi="宋体" w:eastAsia="宋体" w:cs="Times New Roman"/>
                <w:color w:val="auto"/>
                <w:kern w:val="0"/>
                <w:sz w:val="21"/>
                <w:szCs w:val="21"/>
                <w:highlight w:val="none"/>
                <w:lang w:val="en-US" w:eastAsia="zh-CN"/>
              </w:rPr>
              <w:t>一般</w:t>
            </w:r>
            <w:r>
              <w:rPr>
                <w:rFonts w:hint="eastAsia" w:ascii="宋体" w:hAnsi="宋体" w:eastAsia="宋体" w:cs="Times New Roman"/>
                <w:color w:val="auto"/>
                <w:kern w:val="0"/>
                <w:sz w:val="21"/>
                <w:szCs w:val="21"/>
                <w:highlight w:val="none"/>
              </w:rPr>
              <w:t>，酌情给</w:t>
            </w:r>
            <w:r>
              <w:rPr>
                <w:rFonts w:hint="eastAsia" w:ascii="宋体" w:hAnsi="宋体" w:eastAsia="宋体" w:cs="Times New Roman"/>
                <w:color w:val="auto"/>
                <w:kern w:val="0"/>
                <w:sz w:val="21"/>
                <w:szCs w:val="21"/>
                <w:highlight w:val="none"/>
                <w:lang w:val="en-US" w:eastAsia="zh-CN"/>
              </w:rPr>
              <w:t>4</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7</w:t>
            </w:r>
            <w:r>
              <w:rPr>
                <w:rFonts w:hint="eastAsia" w:ascii="宋体" w:hAnsi="宋体" w:eastAsia="宋体" w:cs="Times New Roman"/>
                <w:color w:val="auto"/>
                <w:kern w:val="0"/>
                <w:sz w:val="21"/>
                <w:szCs w:val="21"/>
                <w:highlight w:val="none"/>
              </w:rPr>
              <w:t>分；</w:t>
            </w:r>
            <w:r>
              <w:rPr>
                <w:rFonts w:hint="eastAsia" w:ascii="宋体" w:hAnsi="宋体" w:eastAsia="宋体" w:cs="Times New Roman"/>
                <w:color w:val="auto"/>
                <w:kern w:val="0"/>
                <w:sz w:val="21"/>
                <w:szCs w:val="21"/>
                <w:highlight w:val="none"/>
                <w:lang w:val="en-US" w:eastAsia="zh-CN"/>
              </w:rPr>
              <w:t>缺少</w:t>
            </w:r>
            <w:r>
              <w:rPr>
                <w:rFonts w:hint="eastAsia" w:ascii="宋体" w:hAnsi="宋体" w:eastAsia="宋体" w:cs="Times New Roman"/>
                <w:color w:val="auto"/>
                <w:kern w:val="0"/>
                <w:sz w:val="21"/>
                <w:szCs w:val="21"/>
                <w:highlight w:val="none"/>
              </w:rPr>
              <w:t>相关内容，</w:t>
            </w:r>
            <w:r>
              <w:rPr>
                <w:rFonts w:hint="eastAsia" w:ascii="宋体" w:hAnsi="宋体" w:eastAsia="宋体" w:cs="Times New Roman"/>
                <w:color w:val="auto"/>
                <w:kern w:val="0"/>
                <w:sz w:val="21"/>
                <w:szCs w:val="21"/>
                <w:highlight w:val="none"/>
                <w:lang w:val="en-US" w:eastAsia="zh-CN"/>
              </w:rPr>
              <w:t>人员配置差、</w:t>
            </w:r>
            <w:r>
              <w:rPr>
                <w:rFonts w:hint="eastAsia" w:ascii="宋体" w:hAnsi="宋体" w:eastAsia="宋体" w:cs="Times New Roman"/>
                <w:color w:val="auto"/>
                <w:kern w:val="0"/>
                <w:sz w:val="21"/>
                <w:szCs w:val="21"/>
                <w:highlight w:val="none"/>
              </w:rPr>
              <w:t>可操作性</w:t>
            </w:r>
            <w:r>
              <w:rPr>
                <w:rFonts w:hint="eastAsia" w:ascii="宋体" w:hAnsi="宋体" w:eastAsia="宋体" w:cs="Times New Roman"/>
                <w:color w:val="auto"/>
                <w:kern w:val="0"/>
                <w:sz w:val="21"/>
                <w:szCs w:val="21"/>
                <w:highlight w:val="none"/>
                <w:lang w:val="en-US" w:eastAsia="zh-CN"/>
              </w:rPr>
              <w:t>不足</w:t>
            </w:r>
            <w:r>
              <w:rPr>
                <w:rFonts w:hint="eastAsia" w:ascii="宋体" w:hAnsi="宋体" w:eastAsia="宋体" w:cs="Times New Roman"/>
                <w:color w:val="auto"/>
                <w:kern w:val="0"/>
                <w:sz w:val="21"/>
                <w:szCs w:val="21"/>
                <w:highlight w:val="none"/>
              </w:rPr>
              <w:t>，酌情给</w:t>
            </w:r>
            <w:r>
              <w:rPr>
                <w:rFonts w:hint="eastAsia" w:ascii="宋体" w:hAnsi="宋体" w:eastAsia="宋体" w:cs="Times New Roman"/>
                <w:color w:val="auto"/>
                <w:kern w:val="0"/>
                <w:sz w:val="21"/>
                <w:szCs w:val="21"/>
                <w:highlight w:val="none"/>
                <w:lang w:val="en-US" w:eastAsia="zh-CN"/>
              </w:rPr>
              <w:t>1</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3分，</w:t>
            </w:r>
            <w:r>
              <w:rPr>
                <w:rFonts w:hint="eastAsia" w:ascii="宋体" w:hAnsi="宋体" w:eastAsia="宋体" w:cs="Times New Roman"/>
                <w:color w:val="auto"/>
                <w:kern w:val="0"/>
                <w:sz w:val="21"/>
                <w:szCs w:val="21"/>
                <w:highlight w:val="none"/>
              </w:rPr>
              <w:t>分未提供方案的不得分。</w:t>
            </w:r>
          </w:p>
        </w:tc>
        <w:tc>
          <w:tcPr>
            <w:tcW w:w="1082" w:type="dxa"/>
            <w:tcBorders>
              <w:top w:val="single" w:color="auto" w:sz="4" w:space="0"/>
              <w:left w:val="single" w:color="auto" w:sz="4" w:space="0"/>
              <w:bottom w:val="single" w:color="auto" w:sz="4" w:space="0"/>
              <w:right w:val="single" w:color="auto" w:sz="4" w:space="0"/>
            </w:tcBorders>
            <w:vAlign w:val="center"/>
          </w:tcPr>
          <w:p w14:paraId="27045F0B">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0-11分</w:t>
            </w:r>
          </w:p>
        </w:tc>
      </w:tr>
      <w:tr w14:paraId="4744D0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0" w:hRule="atLeast"/>
          <w:jc w:val="center"/>
        </w:trPr>
        <w:tc>
          <w:tcPr>
            <w:tcW w:w="797" w:type="dxa"/>
            <w:vMerge w:val="restart"/>
            <w:tcBorders>
              <w:top w:val="single" w:color="auto" w:sz="4" w:space="0"/>
              <w:left w:val="single" w:color="auto" w:sz="4" w:space="0"/>
              <w:right w:val="single" w:color="auto" w:sz="4" w:space="0"/>
            </w:tcBorders>
            <w:vAlign w:val="center"/>
          </w:tcPr>
          <w:p w14:paraId="7131AA16">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6</w:t>
            </w:r>
          </w:p>
        </w:tc>
        <w:tc>
          <w:tcPr>
            <w:tcW w:w="1515" w:type="dxa"/>
            <w:vMerge w:val="restart"/>
            <w:tcBorders>
              <w:top w:val="single" w:color="auto" w:sz="4" w:space="0"/>
              <w:left w:val="single" w:color="auto" w:sz="4" w:space="0"/>
              <w:right w:val="single" w:color="auto" w:sz="4" w:space="0"/>
            </w:tcBorders>
            <w:vAlign w:val="center"/>
          </w:tcPr>
          <w:p w14:paraId="55AAE293">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对工作重点判断的准确性；解决工作难点的分析能力</w:t>
            </w:r>
          </w:p>
        </w:tc>
        <w:tc>
          <w:tcPr>
            <w:tcW w:w="6215" w:type="dxa"/>
            <w:tcBorders>
              <w:top w:val="single" w:color="auto" w:sz="4" w:space="0"/>
              <w:left w:val="single" w:color="auto" w:sz="4" w:space="0"/>
              <w:bottom w:val="single" w:color="auto" w:sz="4" w:space="0"/>
              <w:right w:val="single" w:color="auto" w:sz="4" w:space="0"/>
            </w:tcBorders>
            <w:vAlign w:val="center"/>
          </w:tcPr>
          <w:p w14:paraId="54E359B2">
            <w:pPr>
              <w:ind w:firstLine="0" w:firstLineChars="0"/>
              <w:jc w:val="center"/>
              <w:rPr>
                <w:rFonts w:hint="eastAsia" w:ascii="宋体" w:hAnsi="宋体" w:eastAsia="宋体" w:cs="Times New Roman"/>
                <w:color w:val="auto"/>
                <w:kern w:val="0"/>
                <w:sz w:val="21"/>
                <w:szCs w:val="21"/>
                <w:highlight w:val="none"/>
                <w:lang w:eastAsia="zh-CN"/>
              </w:rPr>
            </w:pPr>
            <w:r>
              <w:rPr>
                <w:rFonts w:hint="eastAsia" w:ascii="宋体" w:hAnsi="宋体" w:eastAsia="宋体" w:cs="Times New Roman"/>
                <w:color w:val="auto"/>
                <w:kern w:val="0"/>
                <w:sz w:val="21"/>
                <w:szCs w:val="21"/>
                <w:highlight w:val="none"/>
              </w:rPr>
              <w:t>对工作重点分析准确全面，得3-</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分。有相关分析，但准确性和全面性欠缺，酌情给1-2分。未提供方案的不得分。（0-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3DC10AA4">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5AE02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continue"/>
            <w:tcBorders>
              <w:left w:val="single" w:color="auto" w:sz="4" w:space="0"/>
              <w:bottom w:val="single" w:color="auto" w:sz="4" w:space="0"/>
              <w:right w:val="single" w:color="auto" w:sz="4" w:space="0"/>
            </w:tcBorders>
            <w:vAlign w:val="center"/>
          </w:tcPr>
          <w:p w14:paraId="4943E146">
            <w:pPr>
              <w:spacing w:line="550" w:lineRule="exact"/>
              <w:ind w:left="0" w:leftChars="0" w:firstLine="0" w:firstLineChars="0"/>
              <w:jc w:val="center"/>
              <w:rPr>
                <w:rFonts w:hint="eastAsia" w:asciiTheme="minorEastAsia" w:hAnsiTheme="minorEastAsia" w:eastAsiaTheme="minorEastAsia" w:cstheme="minorEastAsia"/>
                <w:bCs/>
                <w:color w:val="auto"/>
                <w:sz w:val="24"/>
                <w:highlight w:val="none"/>
                <w:lang w:val="en-US" w:eastAsia="zh-CN"/>
              </w:rPr>
            </w:pPr>
          </w:p>
        </w:tc>
        <w:tc>
          <w:tcPr>
            <w:tcW w:w="1515" w:type="dxa"/>
            <w:vMerge w:val="continue"/>
            <w:tcBorders>
              <w:left w:val="single" w:color="auto" w:sz="4" w:space="0"/>
              <w:bottom w:val="single" w:color="auto" w:sz="4" w:space="0"/>
              <w:right w:val="single" w:color="auto" w:sz="4" w:space="0"/>
            </w:tcBorders>
            <w:vAlign w:val="center"/>
          </w:tcPr>
          <w:p w14:paraId="3232BCD5">
            <w:pPr>
              <w:ind w:firstLine="0" w:firstLineChars="0"/>
              <w:jc w:val="center"/>
              <w:rPr>
                <w:rFonts w:hint="eastAsia" w:ascii="宋体" w:hAnsi="宋体" w:eastAsia="宋体" w:cs="Times New Roman"/>
                <w:color w:val="auto"/>
                <w:kern w:val="0"/>
                <w:sz w:val="21"/>
                <w:szCs w:val="21"/>
                <w:highlight w:val="none"/>
                <w:lang w:val="en-US" w:eastAsia="zh-CN"/>
              </w:rPr>
            </w:pPr>
          </w:p>
        </w:tc>
        <w:tc>
          <w:tcPr>
            <w:tcW w:w="6215" w:type="dxa"/>
            <w:tcBorders>
              <w:top w:val="single" w:color="auto" w:sz="4" w:space="0"/>
              <w:left w:val="single" w:color="auto" w:sz="4" w:space="0"/>
              <w:bottom w:val="single" w:color="auto" w:sz="4" w:space="0"/>
              <w:right w:val="single" w:color="auto" w:sz="4" w:space="0"/>
            </w:tcBorders>
            <w:vAlign w:val="center"/>
          </w:tcPr>
          <w:p w14:paraId="7DF3E1DE">
            <w:pPr>
              <w:ind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对工作难点有相关解决方案且工作安排得当得3-</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分。有相关应对措施，但针对性或可操作性有欠缺，酌情给1-2分。未提供方案的不得分。（0-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798960FA">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r>
      <w:tr w14:paraId="64591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17DAC42C">
            <w:pPr>
              <w:spacing w:line="550" w:lineRule="exact"/>
              <w:ind w:left="0" w:leftChars="0" w:firstLine="0" w:firstLineChars="0"/>
              <w:jc w:val="center"/>
              <w:rPr>
                <w:rFonts w:hint="default" w:asciiTheme="minorEastAsia" w:hAnsiTheme="minorEastAsia" w:eastAsiaTheme="minorEastAsia" w:cstheme="minorEastAsia"/>
                <w:bCs/>
                <w:color w:val="auto"/>
                <w:sz w:val="24"/>
                <w:highlight w:val="none"/>
                <w:lang w:val="en-US" w:eastAsia="zh-CN"/>
              </w:rPr>
            </w:pPr>
            <w:bookmarkStart w:id="264" w:name="_Toc9201"/>
            <w:r>
              <w:rPr>
                <w:rFonts w:hint="eastAsia" w:asciiTheme="minorEastAsia" w:hAnsiTheme="minorEastAsia" w:eastAsiaTheme="minorEastAsia" w:cstheme="minorEastAsia"/>
                <w:bCs/>
                <w:color w:val="auto"/>
                <w:sz w:val="24"/>
                <w:highlight w:val="none"/>
                <w:lang w:val="en-US" w:eastAsia="zh-CN"/>
              </w:rPr>
              <w:t>7</w:t>
            </w:r>
          </w:p>
        </w:tc>
        <w:tc>
          <w:tcPr>
            <w:tcW w:w="1515" w:type="dxa"/>
            <w:tcBorders>
              <w:top w:val="single" w:color="auto" w:sz="4" w:space="0"/>
              <w:left w:val="single" w:color="auto" w:sz="4" w:space="0"/>
              <w:bottom w:val="single" w:color="auto" w:sz="4" w:space="0"/>
              <w:right w:val="single" w:color="auto" w:sz="4" w:space="0"/>
            </w:tcBorders>
            <w:vAlign w:val="center"/>
          </w:tcPr>
          <w:p w14:paraId="280323F9">
            <w:pPr>
              <w:widowControl/>
              <w:snapToGrid w:val="0"/>
              <w:spacing w:line="360" w:lineRule="auto"/>
              <w:ind w:left="0" w:leftChars="0" w:firstLine="0" w:firstLineChars="0"/>
              <w:jc w:val="left"/>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rPr>
              <w:t>突发事件处理方案</w:t>
            </w:r>
          </w:p>
        </w:tc>
        <w:tc>
          <w:tcPr>
            <w:tcW w:w="6215" w:type="dxa"/>
            <w:tcBorders>
              <w:top w:val="single" w:color="auto" w:sz="4" w:space="0"/>
              <w:left w:val="single" w:color="auto" w:sz="4" w:space="0"/>
              <w:bottom w:val="single" w:color="auto" w:sz="4" w:space="0"/>
              <w:right w:val="single" w:color="auto" w:sz="4" w:space="0"/>
            </w:tcBorders>
            <w:vAlign w:val="center"/>
          </w:tcPr>
          <w:p w14:paraId="405C8247">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针对突发事件处理方案全面、措施有力，针对性强，切实可行，具有特色的得</w:t>
            </w:r>
            <w:r>
              <w:rPr>
                <w:rFonts w:hint="eastAsia" w:ascii="宋体" w:hAnsi="宋体" w:eastAsia="宋体" w:cs="Times New Roman"/>
                <w:color w:val="auto"/>
                <w:kern w:val="0"/>
                <w:sz w:val="21"/>
                <w:szCs w:val="21"/>
                <w:highlight w:val="none"/>
                <w:lang w:val="en-US" w:eastAsia="zh-CN"/>
              </w:rPr>
              <w:t>7-9</w:t>
            </w:r>
            <w:r>
              <w:rPr>
                <w:rFonts w:hint="eastAsia" w:ascii="宋体" w:hAnsi="宋体" w:eastAsia="宋体" w:cs="Times New Roman"/>
                <w:color w:val="auto"/>
                <w:kern w:val="0"/>
                <w:sz w:val="21"/>
                <w:szCs w:val="21"/>
                <w:highlight w:val="none"/>
              </w:rPr>
              <w:t>分；基本可行，但存在不足，可酌情给3-</w:t>
            </w:r>
            <w:r>
              <w:rPr>
                <w:rFonts w:hint="eastAsia" w:ascii="宋体" w:hAnsi="宋体" w:eastAsia="宋体" w:cs="Times New Roman"/>
                <w:color w:val="auto"/>
                <w:kern w:val="0"/>
                <w:sz w:val="21"/>
                <w:szCs w:val="21"/>
                <w:highlight w:val="none"/>
                <w:lang w:val="en-US" w:eastAsia="zh-CN"/>
              </w:rPr>
              <w:t>6</w:t>
            </w:r>
            <w:r>
              <w:rPr>
                <w:rFonts w:hint="eastAsia" w:ascii="宋体" w:hAnsi="宋体" w:eastAsia="宋体" w:cs="Times New Roman"/>
                <w:color w:val="auto"/>
                <w:kern w:val="0"/>
                <w:sz w:val="21"/>
                <w:szCs w:val="21"/>
                <w:highlight w:val="none"/>
              </w:rPr>
              <w:t>分；存在明显缺陷，可行性较低，酌情给</w:t>
            </w:r>
            <w:r>
              <w:rPr>
                <w:rFonts w:hint="eastAsia" w:ascii="宋体" w:hAnsi="宋体" w:eastAsia="宋体" w:cs="Times New Roman"/>
                <w:color w:val="auto"/>
                <w:kern w:val="0"/>
                <w:sz w:val="21"/>
                <w:szCs w:val="21"/>
                <w:highlight w:val="none"/>
                <w:lang w:val="en-US" w:eastAsia="zh-CN"/>
              </w:rPr>
              <w:t>0</w:t>
            </w:r>
            <w:r>
              <w:rPr>
                <w:rFonts w:hint="eastAsia" w:ascii="宋体" w:hAnsi="宋体" w:eastAsia="宋体" w:cs="Times New Roman"/>
                <w:color w:val="auto"/>
                <w:kern w:val="0"/>
                <w:sz w:val="21"/>
                <w:szCs w:val="21"/>
                <w:highlight w:val="none"/>
              </w:rPr>
              <w:t>-</w:t>
            </w:r>
            <w:r>
              <w:rPr>
                <w:rFonts w:hint="eastAsia" w:ascii="宋体" w:hAnsi="宋体" w:eastAsia="宋体" w:cs="Times New Roman"/>
                <w:color w:val="auto"/>
                <w:kern w:val="0"/>
                <w:sz w:val="21"/>
                <w:szCs w:val="21"/>
                <w:highlight w:val="none"/>
                <w:lang w:val="en-US" w:eastAsia="zh-CN"/>
              </w:rPr>
              <w:t>2</w:t>
            </w:r>
            <w:r>
              <w:rPr>
                <w:rFonts w:hint="eastAsia" w:ascii="宋体" w:hAnsi="宋体" w:eastAsia="宋体" w:cs="Times New Roman"/>
                <w:color w:val="auto"/>
                <w:kern w:val="0"/>
                <w:sz w:val="21"/>
                <w:szCs w:val="21"/>
                <w:highlight w:val="none"/>
              </w:rPr>
              <w:t>分；未提供方案的不得分。（0-</w:t>
            </w:r>
            <w:r>
              <w:rPr>
                <w:rFonts w:hint="eastAsia" w:ascii="宋体" w:hAnsi="宋体" w:eastAsia="宋体" w:cs="Times New Roman"/>
                <w:color w:val="auto"/>
                <w:kern w:val="0"/>
                <w:sz w:val="21"/>
                <w:szCs w:val="21"/>
                <w:highlight w:val="none"/>
                <w:lang w:val="en-US" w:eastAsia="zh-CN"/>
              </w:rPr>
              <w:t>9</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5C27F83D">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9</w:t>
            </w:r>
            <w:r>
              <w:rPr>
                <w:rFonts w:hint="eastAsia" w:ascii="宋体" w:hAnsi="宋体" w:eastAsia="宋体" w:cs="Times New Roman"/>
                <w:color w:val="auto"/>
                <w:kern w:val="0"/>
                <w:sz w:val="21"/>
                <w:szCs w:val="21"/>
                <w:highlight w:val="none"/>
              </w:rPr>
              <w:t>分</w:t>
            </w:r>
          </w:p>
        </w:tc>
      </w:tr>
      <w:tr w14:paraId="4AFB4A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bottom w:val="single" w:color="auto" w:sz="4" w:space="0"/>
              <w:right w:val="single" w:color="auto" w:sz="4" w:space="0"/>
            </w:tcBorders>
            <w:vAlign w:val="center"/>
          </w:tcPr>
          <w:p w14:paraId="067E9B0E">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8</w:t>
            </w:r>
          </w:p>
        </w:tc>
        <w:tc>
          <w:tcPr>
            <w:tcW w:w="1515" w:type="dxa"/>
            <w:tcBorders>
              <w:top w:val="single" w:color="auto" w:sz="4" w:space="0"/>
              <w:left w:val="single" w:color="auto" w:sz="4" w:space="0"/>
              <w:bottom w:val="single" w:color="auto" w:sz="4" w:space="0"/>
              <w:right w:val="single" w:color="auto" w:sz="4" w:space="0"/>
            </w:tcBorders>
            <w:vAlign w:val="center"/>
          </w:tcPr>
          <w:p w14:paraId="31600479">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合理化建议</w:t>
            </w:r>
          </w:p>
        </w:tc>
        <w:tc>
          <w:tcPr>
            <w:tcW w:w="6215" w:type="dxa"/>
            <w:tcBorders>
              <w:top w:val="single" w:color="auto" w:sz="4" w:space="0"/>
              <w:left w:val="single" w:color="auto" w:sz="4" w:space="0"/>
              <w:bottom w:val="single" w:color="auto" w:sz="4" w:space="0"/>
              <w:right w:val="single" w:color="auto" w:sz="4" w:space="0"/>
            </w:tcBorders>
            <w:vAlign w:val="center"/>
          </w:tcPr>
          <w:p w14:paraId="7734DC51">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根据投标人对本项目需求的理解以及对各个岗位的人员的配备（含分工、上岗培训、员工稳定性等）提出的合理化建议，专家根据其合理性、可行性酌情打分。（0-</w:t>
            </w:r>
            <w:r>
              <w:rPr>
                <w:rFonts w:hint="eastAsia" w:ascii="宋体" w:hAnsi="宋体" w:eastAsia="宋体" w:cs="Times New Roman"/>
                <w:color w:val="auto"/>
                <w:kern w:val="0"/>
                <w:sz w:val="21"/>
                <w:szCs w:val="21"/>
                <w:highlight w:val="none"/>
                <w:lang w:val="en-US" w:eastAsia="zh-CN"/>
              </w:rPr>
              <w:t>6</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2A24C302">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lang w:val="en-US" w:eastAsia="zh-CN"/>
              </w:rPr>
              <w:t>0-6分</w:t>
            </w:r>
          </w:p>
        </w:tc>
      </w:tr>
      <w:tr w14:paraId="244A8A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restart"/>
            <w:tcBorders>
              <w:top w:val="single" w:color="auto" w:sz="4" w:space="0"/>
              <w:left w:val="single" w:color="auto" w:sz="4" w:space="0"/>
              <w:right w:val="single" w:color="auto" w:sz="4" w:space="0"/>
            </w:tcBorders>
            <w:vAlign w:val="center"/>
          </w:tcPr>
          <w:p w14:paraId="2F4FEEAF">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9</w:t>
            </w:r>
          </w:p>
        </w:tc>
        <w:tc>
          <w:tcPr>
            <w:tcW w:w="1515" w:type="dxa"/>
            <w:vMerge w:val="restart"/>
            <w:tcBorders>
              <w:top w:val="single" w:color="auto" w:sz="4" w:space="0"/>
              <w:left w:val="single" w:color="auto" w:sz="4" w:space="0"/>
              <w:right w:val="single" w:color="auto" w:sz="4" w:space="0"/>
            </w:tcBorders>
            <w:vAlign w:val="center"/>
          </w:tcPr>
          <w:p w14:paraId="4973E05A">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保证措施</w:t>
            </w:r>
          </w:p>
        </w:tc>
        <w:tc>
          <w:tcPr>
            <w:tcW w:w="6215" w:type="dxa"/>
            <w:tcBorders>
              <w:top w:val="single" w:color="auto" w:sz="4" w:space="0"/>
              <w:left w:val="single" w:color="auto" w:sz="4" w:space="0"/>
              <w:bottom w:val="single" w:color="auto" w:sz="4" w:space="0"/>
              <w:right w:val="single" w:color="auto" w:sz="4" w:space="0"/>
            </w:tcBorders>
            <w:vAlign w:val="center"/>
          </w:tcPr>
          <w:p w14:paraId="7974CBC6">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针对本项目建立的</w:t>
            </w:r>
            <w:r>
              <w:rPr>
                <w:rFonts w:hint="eastAsia" w:ascii="宋体" w:hAnsi="宋体" w:eastAsia="宋体" w:cs="Times New Roman"/>
                <w:color w:val="auto"/>
                <w:kern w:val="0"/>
                <w:sz w:val="21"/>
                <w:szCs w:val="21"/>
                <w:highlight w:val="none"/>
                <w:lang w:eastAsia="zh-CN"/>
              </w:rPr>
              <w:t>劳务</w:t>
            </w:r>
            <w:r>
              <w:rPr>
                <w:rFonts w:hint="eastAsia" w:ascii="宋体" w:hAnsi="宋体" w:eastAsia="宋体" w:cs="Times New Roman"/>
                <w:color w:val="auto"/>
                <w:kern w:val="0"/>
                <w:sz w:val="21"/>
                <w:szCs w:val="21"/>
                <w:highlight w:val="none"/>
              </w:rPr>
              <w:t>人员学习、培训、监管、考核奖惩制度情况酌情给分。（0-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6BC6BF1A">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559171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vMerge w:val="continue"/>
            <w:tcBorders>
              <w:left w:val="single" w:color="auto" w:sz="4" w:space="0"/>
              <w:bottom w:val="single" w:color="auto" w:sz="4" w:space="0"/>
              <w:right w:val="single" w:color="auto" w:sz="4" w:space="0"/>
            </w:tcBorders>
            <w:vAlign w:val="center"/>
          </w:tcPr>
          <w:p w14:paraId="7BB40F3B">
            <w:pPr>
              <w:ind w:firstLine="0" w:firstLineChars="0"/>
              <w:jc w:val="center"/>
              <w:rPr>
                <w:rFonts w:hint="eastAsia" w:ascii="宋体" w:hAnsi="宋体" w:eastAsia="宋体" w:cs="Times New Roman"/>
                <w:color w:val="auto"/>
                <w:kern w:val="0"/>
                <w:sz w:val="21"/>
                <w:szCs w:val="21"/>
                <w:highlight w:val="none"/>
                <w:lang w:val="en-US" w:eastAsia="zh-CN"/>
              </w:rPr>
            </w:pPr>
          </w:p>
        </w:tc>
        <w:tc>
          <w:tcPr>
            <w:tcW w:w="1515" w:type="dxa"/>
            <w:vMerge w:val="continue"/>
            <w:tcBorders>
              <w:left w:val="single" w:color="auto" w:sz="4" w:space="0"/>
              <w:bottom w:val="single" w:color="auto" w:sz="4" w:space="0"/>
              <w:right w:val="single" w:color="auto" w:sz="4" w:space="0"/>
            </w:tcBorders>
            <w:vAlign w:val="center"/>
          </w:tcPr>
          <w:p w14:paraId="2069CB4D">
            <w:pPr>
              <w:ind w:firstLine="0" w:firstLineChars="0"/>
              <w:jc w:val="center"/>
              <w:rPr>
                <w:rFonts w:hint="eastAsia" w:ascii="宋体" w:hAnsi="宋体" w:eastAsia="宋体" w:cs="Times New Roman"/>
                <w:color w:val="auto"/>
                <w:kern w:val="0"/>
                <w:sz w:val="21"/>
                <w:szCs w:val="21"/>
                <w:highlight w:val="none"/>
              </w:rPr>
            </w:pPr>
          </w:p>
        </w:tc>
        <w:tc>
          <w:tcPr>
            <w:tcW w:w="6215" w:type="dxa"/>
            <w:tcBorders>
              <w:top w:val="single" w:color="auto" w:sz="4" w:space="0"/>
              <w:left w:val="single" w:color="auto" w:sz="4" w:space="0"/>
              <w:bottom w:val="single" w:color="auto" w:sz="4" w:space="0"/>
              <w:right w:val="single" w:color="auto" w:sz="4" w:space="0"/>
            </w:tcBorders>
            <w:vAlign w:val="center"/>
          </w:tcPr>
          <w:p w14:paraId="5D8209C0">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各项管理制度合法性、实用性和可操作性。对各项服务质量的考评标准是否详细量化。由评标专家酌情给分。（0-</w:t>
            </w:r>
            <w:r>
              <w:rPr>
                <w:rFonts w:hint="eastAsia" w:ascii="宋体" w:hAnsi="宋体" w:eastAsia="宋体" w:cs="Times New Roman"/>
                <w:color w:val="auto"/>
                <w:kern w:val="0"/>
                <w:sz w:val="21"/>
                <w:szCs w:val="21"/>
                <w:highlight w:val="none"/>
                <w:lang w:val="en-US" w:eastAsia="zh-CN"/>
              </w:rPr>
              <w:t>5</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73B24099">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0-5分</w:t>
            </w:r>
          </w:p>
        </w:tc>
      </w:tr>
      <w:tr w14:paraId="7D93F6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797" w:type="dxa"/>
            <w:tcBorders>
              <w:top w:val="single" w:color="auto" w:sz="4" w:space="0"/>
              <w:left w:val="single" w:color="auto" w:sz="4" w:space="0"/>
              <w:right w:val="single" w:color="auto" w:sz="4" w:space="0"/>
            </w:tcBorders>
            <w:vAlign w:val="center"/>
          </w:tcPr>
          <w:p w14:paraId="1BE43203">
            <w:pPr>
              <w:ind w:firstLine="0" w:firstLineChars="0"/>
              <w:jc w:val="center"/>
              <w:rPr>
                <w:rFonts w:hint="default"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10</w:t>
            </w:r>
          </w:p>
        </w:tc>
        <w:tc>
          <w:tcPr>
            <w:tcW w:w="1515" w:type="dxa"/>
            <w:tcBorders>
              <w:top w:val="single" w:color="auto" w:sz="4" w:space="0"/>
              <w:left w:val="single" w:color="auto" w:sz="4" w:space="0"/>
              <w:right w:val="single" w:color="auto" w:sz="4" w:space="0"/>
            </w:tcBorders>
            <w:vAlign w:val="center"/>
          </w:tcPr>
          <w:p w14:paraId="017DA5D1">
            <w:pPr>
              <w:ind w:firstLine="0" w:firstLineChars="0"/>
              <w:jc w:val="center"/>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服务承诺</w:t>
            </w:r>
          </w:p>
        </w:tc>
        <w:tc>
          <w:tcPr>
            <w:tcW w:w="6215" w:type="dxa"/>
            <w:tcBorders>
              <w:top w:val="single" w:color="auto" w:sz="4" w:space="0"/>
              <w:left w:val="single" w:color="auto" w:sz="4" w:space="0"/>
              <w:bottom w:val="single" w:color="auto" w:sz="4" w:space="0"/>
              <w:right w:val="single" w:color="auto" w:sz="4" w:space="0"/>
            </w:tcBorders>
            <w:vAlign w:val="center"/>
          </w:tcPr>
          <w:p w14:paraId="46068573">
            <w:pPr>
              <w:ind w:firstLine="0" w:firstLineChars="0"/>
              <w:jc w:val="left"/>
              <w:rPr>
                <w:rFonts w:hint="eastAsia" w:ascii="宋体" w:hAnsi="宋体" w:eastAsia="宋体" w:cs="Times New Roman"/>
                <w:color w:val="auto"/>
                <w:kern w:val="0"/>
                <w:sz w:val="21"/>
                <w:szCs w:val="21"/>
                <w:highlight w:val="none"/>
              </w:rPr>
            </w:pPr>
            <w:r>
              <w:rPr>
                <w:rFonts w:hint="eastAsia" w:ascii="宋体" w:hAnsi="宋体" w:eastAsia="宋体" w:cs="Times New Roman"/>
                <w:color w:val="auto"/>
                <w:kern w:val="0"/>
                <w:sz w:val="21"/>
                <w:szCs w:val="21"/>
                <w:highlight w:val="none"/>
              </w:rPr>
              <w:t>根据投标人本地化服务情况、服务承诺的范围和完善程度综合评定打分</w:t>
            </w:r>
            <w:r>
              <w:rPr>
                <w:rFonts w:hint="eastAsia" w:ascii="宋体" w:hAnsi="宋体" w:eastAsia="宋体" w:cs="Times New Roman"/>
                <w:color w:val="auto"/>
                <w:kern w:val="0"/>
                <w:sz w:val="21"/>
                <w:szCs w:val="21"/>
                <w:highlight w:val="none"/>
                <w:lang w:eastAsia="zh-CN"/>
              </w:rPr>
              <w:t>。</w:t>
            </w:r>
            <w:r>
              <w:rPr>
                <w:rFonts w:hint="eastAsia" w:ascii="宋体" w:hAnsi="宋体" w:eastAsia="宋体" w:cs="Times New Roman"/>
                <w:color w:val="auto"/>
                <w:kern w:val="0"/>
                <w:sz w:val="21"/>
                <w:szCs w:val="21"/>
                <w:highlight w:val="none"/>
              </w:rPr>
              <w:t>（0-</w:t>
            </w:r>
            <w:r>
              <w:rPr>
                <w:rFonts w:hint="eastAsia" w:ascii="宋体" w:hAnsi="宋体" w:eastAsia="宋体" w:cs="Times New Roman"/>
                <w:color w:val="auto"/>
                <w:kern w:val="0"/>
                <w:sz w:val="21"/>
                <w:szCs w:val="21"/>
                <w:highlight w:val="none"/>
                <w:lang w:val="en-US" w:eastAsia="zh-CN"/>
              </w:rPr>
              <w:t>8</w:t>
            </w:r>
            <w:r>
              <w:rPr>
                <w:rFonts w:hint="eastAsia" w:ascii="宋体" w:hAnsi="宋体" w:eastAsia="宋体" w:cs="Times New Roman"/>
                <w:color w:val="auto"/>
                <w:kern w:val="0"/>
                <w:sz w:val="21"/>
                <w:szCs w:val="21"/>
                <w:highlight w:val="none"/>
              </w:rPr>
              <w:t>分）</w:t>
            </w:r>
          </w:p>
        </w:tc>
        <w:tc>
          <w:tcPr>
            <w:tcW w:w="1082" w:type="dxa"/>
            <w:tcBorders>
              <w:top w:val="single" w:color="auto" w:sz="4" w:space="0"/>
              <w:left w:val="single" w:color="auto" w:sz="4" w:space="0"/>
              <w:bottom w:val="single" w:color="auto" w:sz="4" w:space="0"/>
              <w:right w:val="single" w:color="auto" w:sz="4" w:space="0"/>
            </w:tcBorders>
            <w:vAlign w:val="center"/>
          </w:tcPr>
          <w:p w14:paraId="241F20E2">
            <w:pPr>
              <w:ind w:firstLine="0" w:firstLineChars="0"/>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0-8分</w:t>
            </w:r>
          </w:p>
        </w:tc>
      </w:tr>
      <w:bookmarkEnd w:id="260"/>
      <w:bookmarkEnd w:id="262"/>
    </w:tbl>
    <w:p w14:paraId="4141BB03">
      <w:pPr>
        <w:widowControl/>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注：1.技术部分由评标专家负责，采用记名方式各自评分，此项评分为全部有效评分的算术平均值。如某一份评分表中某一项评分，超过评标细则所规定的分值范围，则该张打分表无效。</w:t>
      </w:r>
    </w:p>
    <w:p w14:paraId="5A254E98">
      <w:pPr>
        <w:widowControl/>
        <w:numPr>
          <w:ilvl w:val="0"/>
          <w:numId w:val="10"/>
        </w:numPr>
        <w:ind w:firstLine="413" w:firstLineChars="196"/>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以上内容评分时保留一位小数。计算评分值时保留二位小数。</w:t>
      </w:r>
    </w:p>
    <w:p w14:paraId="74A31744">
      <w:pPr>
        <w:widowControl/>
        <w:numPr>
          <w:ilvl w:val="0"/>
          <w:numId w:val="0"/>
        </w:numPr>
        <w:ind w:firstLine="422" w:firstLineChars="200"/>
        <w:jc w:val="lef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3.表内有关证明文件要求：（1）</w:t>
      </w:r>
      <w:r>
        <w:rPr>
          <w:rFonts w:hint="eastAsia" w:ascii="宋体" w:hAnsi="宋体" w:eastAsia="宋体" w:cs="宋体"/>
          <w:b/>
          <w:bCs/>
          <w:color w:val="auto"/>
          <w:sz w:val="21"/>
          <w:szCs w:val="21"/>
          <w:highlight w:val="none"/>
        </w:rPr>
        <w:t>以上涉及的证明材料</w:t>
      </w: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提供原</w:t>
      </w:r>
      <w:r>
        <w:rPr>
          <w:rFonts w:hint="eastAsia" w:ascii="宋体" w:hAnsi="宋体" w:eastAsia="宋体" w:cs="宋体"/>
          <w:b/>
          <w:bCs/>
          <w:color w:val="auto"/>
          <w:sz w:val="21"/>
          <w:szCs w:val="21"/>
          <w:highlight w:val="none"/>
          <w:lang w:val="en-US" w:eastAsia="zh-CN"/>
        </w:rPr>
        <w:t>件复制件</w:t>
      </w:r>
      <w:r>
        <w:rPr>
          <w:rFonts w:hint="eastAsia" w:ascii="宋体" w:hAnsi="宋体" w:eastAsia="宋体" w:cs="宋体"/>
          <w:b/>
          <w:bCs/>
          <w:color w:val="auto"/>
          <w:sz w:val="21"/>
          <w:szCs w:val="21"/>
          <w:highlight w:val="none"/>
        </w:rPr>
        <w:t>并</w:t>
      </w:r>
      <w:r>
        <w:rPr>
          <w:rFonts w:hint="eastAsia" w:ascii="宋体" w:hAnsi="宋体" w:eastAsia="宋体" w:cs="宋体"/>
          <w:b/>
          <w:bCs/>
          <w:color w:val="auto"/>
          <w:sz w:val="21"/>
          <w:szCs w:val="21"/>
          <w:highlight w:val="none"/>
          <w:lang w:val="zh-CN"/>
        </w:rPr>
        <w:t>加盖公章即可</w:t>
      </w:r>
      <w:r>
        <w:rPr>
          <w:rFonts w:hint="eastAsia" w:ascii="宋体" w:hAnsi="宋体" w:eastAsia="宋体" w:cs="宋体"/>
          <w:b/>
          <w:bCs/>
          <w:color w:val="auto"/>
          <w:sz w:val="21"/>
          <w:szCs w:val="21"/>
          <w:highlight w:val="none"/>
        </w:rPr>
        <w:t>，原件自带备查</w:t>
      </w:r>
      <w:r>
        <w:rPr>
          <w:rFonts w:hint="eastAsia" w:asciiTheme="minorEastAsia" w:hAnsiTheme="minorEastAsia" w:eastAsiaTheme="minorEastAsia" w:cstheme="minorEastAsia"/>
          <w:b/>
          <w:color w:val="auto"/>
          <w:sz w:val="21"/>
          <w:szCs w:val="21"/>
          <w:highlight w:val="none"/>
        </w:rPr>
        <w:t>；（2）不提供或者不能提供有效证明的，不得分。</w:t>
      </w:r>
    </w:p>
    <w:p w14:paraId="6D6D6B36">
      <w:pPr>
        <w:spacing w:line="360" w:lineRule="auto"/>
        <w:ind w:firstLine="0" w:firstLineChars="0"/>
        <w:jc w:val="center"/>
        <w:outlineLvl w:val="1"/>
        <w:rPr>
          <w:rFonts w:ascii="宋体" w:hAnsi="宋体" w:eastAsia="宋体" w:cs="宋体"/>
          <w:b/>
          <w:bCs/>
          <w:color w:val="auto"/>
          <w:highlight w:val="none"/>
          <w:lang w:val="zh-CN"/>
        </w:rPr>
      </w:pPr>
      <w:r>
        <w:rPr>
          <w:rFonts w:hint="eastAsia" w:ascii="宋体" w:hAnsi="宋体" w:eastAsia="宋体" w:cs="宋体"/>
          <w:b/>
          <w:bCs/>
          <w:color w:val="auto"/>
          <w:highlight w:val="none"/>
          <w:lang w:val="zh-CN"/>
        </w:rPr>
        <w:t>五、开评标程序</w:t>
      </w:r>
      <w:bookmarkEnd w:id="264"/>
    </w:p>
    <w:p w14:paraId="68D02385">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1.主持人宣布投标截止时间，截止时间以国家授时中心标准时间为准，宣布招标会议开始。</w:t>
      </w:r>
    </w:p>
    <w:p w14:paraId="521CDBE6">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2.采购人或代理机构确认供应商递交标书等情况。</w:t>
      </w:r>
    </w:p>
    <w:p w14:paraId="63E38DB1">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3.采购人或代理机构检查各供应商的标函密封、标记情况。</w:t>
      </w:r>
    </w:p>
    <w:p w14:paraId="2BA807BF">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4.启封各供应商的资信技术文件，送评标委员会进行独立评审。如有疑问，可对投标人进行询标，投标人要向评标委员会澄清有关问题，并最终以书面版形式进行答复。评委对各供应商资信及技术打分。</w:t>
      </w:r>
    </w:p>
    <w:p w14:paraId="7C1108A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5.当众拆封各供应商的商务报价文件，并宣布各供应商商务报价，并送评标委员会进行审查。如有疑问，可对投标人进行书面</w:t>
      </w:r>
      <w:r>
        <w:rPr>
          <w:rFonts w:hint="eastAsia" w:ascii="宋体" w:hAnsi="宋体" w:eastAsia="宋体" w:cs="宋体"/>
          <w:color w:val="auto"/>
          <w:sz w:val="21"/>
          <w:szCs w:val="21"/>
          <w:highlight w:val="none"/>
          <w:lang w:val="en-US" w:eastAsia="zh-CN"/>
        </w:rPr>
        <w:t>或</w:t>
      </w:r>
      <w:r>
        <w:rPr>
          <w:rFonts w:hint="eastAsia" w:ascii="宋体" w:hAnsi="宋体" w:eastAsia="宋体" w:cs="宋体"/>
          <w:color w:val="auto"/>
          <w:sz w:val="21"/>
          <w:szCs w:val="21"/>
          <w:highlight w:val="none"/>
        </w:rPr>
        <w:t>电话询标，投标人要向评标委员会澄清有关问题，并最终以书面形式进行答复。</w:t>
      </w:r>
    </w:p>
    <w:p w14:paraId="4A81B0DA">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6.最后计算出各供应商的商务报价得分，在现场监督人员的监督下，进行复核，然后加计总分后当场公布各供应商的各项得分及总分，评标委员会按评标办法和细则规定推荐</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名中标候选人。</w:t>
      </w:r>
    </w:p>
    <w:p w14:paraId="1434792B">
      <w:pPr>
        <w:spacing w:line="360" w:lineRule="auto"/>
        <w:ind w:firstLine="482"/>
        <w:jc w:val="center"/>
        <w:outlineLvl w:val="1"/>
        <w:rPr>
          <w:rFonts w:ascii="宋体" w:hAnsi="宋体" w:eastAsia="宋体" w:cs="宋体"/>
          <w:b/>
          <w:bCs/>
          <w:color w:val="auto"/>
          <w:sz w:val="21"/>
          <w:szCs w:val="21"/>
          <w:highlight w:val="none"/>
        </w:rPr>
      </w:pPr>
      <w:bookmarkStart w:id="265" w:name="_Toc2211"/>
      <w:r>
        <w:rPr>
          <w:rFonts w:hint="eastAsia" w:ascii="宋体" w:hAnsi="宋体" w:eastAsia="宋体" w:cs="宋体"/>
          <w:b/>
          <w:bCs/>
          <w:color w:val="auto"/>
          <w:sz w:val="21"/>
          <w:szCs w:val="21"/>
          <w:highlight w:val="none"/>
        </w:rPr>
        <w:t>六、定标办法</w:t>
      </w:r>
      <w:bookmarkEnd w:id="265"/>
    </w:p>
    <w:p w14:paraId="53F923CA">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1、评标委员会根据评标办法进行评标，并向采购人提交评标报告，评标报告由全体评标委员会成员签字后有效。</w:t>
      </w:r>
    </w:p>
    <w:p w14:paraId="5ED7814E">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2、评标委员会应在评标报告中推荐综合评分</w:t>
      </w:r>
      <w:r>
        <w:rPr>
          <w:rFonts w:hint="eastAsia" w:ascii="宋体" w:hAnsi="宋体" w:eastAsia="宋体" w:cs="宋体"/>
          <w:color w:val="auto"/>
          <w:sz w:val="21"/>
          <w:szCs w:val="21"/>
          <w:highlight w:val="none"/>
          <w:lang w:val="en-US" w:eastAsia="zh-CN"/>
        </w:rPr>
        <w:t>前2</w:t>
      </w:r>
      <w:r>
        <w:rPr>
          <w:rFonts w:hint="eastAsia" w:ascii="宋体" w:hAnsi="宋体" w:eastAsia="宋体" w:cs="宋体"/>
          <w:color w:val="auto"/>
          <w:sz w:val="21"/>
          <w:szCs w:val="21"/>
          <w:highlight w:val="none"/>
        </w:rPr>
        <w:t>名的投标人为中标候选人。</w:t>
      </w:r>
    </w:p>
    <w:p w14:paraId="6365D9E3">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3、定标由采购人负责，应坚持评审小组推荐的</w:t>
      </w:r>
      <w:r>
        <w:rPr>
          <w:rFonts w:hint="eastAsia" w:ascii="宋体" w:hAnsi="宋体" w:eastAsia="宋体" w:cs="宋体"/>
          <w:color w:val="auto"/>
          <w:sz w:val="21"/>
          <w:szCs w:val="21"/>
          <w:highlight w:val="none"/>
          <w:lang w:val="en-US" w:eastAsia="zh-CN"/>
        </w:rPr>
        <w:t>第一</w:t>
      </w:r>
      <w:r>
        <w:rPr>
          <w:rFonts w:hint="eastAsia" w:ascii="宋体" w:hAnsi="宋体" w:eastAsia="宋体" w:cs="宋体"/>
          <w:color w:val="auto"/>
          <w:sz w:val="21"/>
          <w:szCs w:val="21"/>
          <w:highlight w:val="none"/>
        </w:rPr>
        <w:t>中标候选人为中标人。但如出现下列情形之一的，采购人可以按照综合</w:t>
      </w:r>
      <w:r>
        <w:rPr>
          <w:rFonts w:ascii="宋体" w:hAnsi="宋体" w:eastAsia="宋体" w:cs="宋体"/>
          <w:color w:val="auto"/>
          <w:sz w:val="21"/>
          <w:szCs w:val="21"/>
          <w:highlight w:val="none"/>
        </w:rPr>
        <w:t>评分从高到低</w:t>
      </w:r>
      <w:r>
        <w:rPr>
          <w:rFonts w:hint="eastAsia" w:ascii="宋体" w:hAnsi="宋体" w:eastAsia="宋体" w:cs="宋体"/>
          <w:color w:val="auto"/>
          <w:sz w:val="21"/>
          <w:szCs w:val="21"/>
          <w:highlight w:val="none"/>
        </w:rPr>
        <w:t>确定中标人：</w:t>
      </w:r>
    </w:p>
    <w:p w14:paraId="12418132">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（1）第一的候选投标人，因自身原因放弃中标成交或因不可抗力不能履行合同的；</w:t>
      </w:r>
    </w:p>
    <w:p w14:paraId="13767034">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（2）经质疑，采购组织机构审查确认因第一的候选投标人在本次采购活动中存在违法违规行为或其他原因使质疑成立的。</w:t>
      </w:r>
    </w:p>
    <w:p w14:paraId="7330D88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（3）《采购文件》规定应当提交履约保证金而在规定的期限内未能提交的，采购人可以取消其中标资格，并按照综合</w:t>
      </w:r>
      <w:r>
        <w:rPr>
          <w:rFonts w:ascii="宋体" w:hAnsi="宋体" w:eastAsia="宋体" w:cs="宋体"/>
          <w:color w:val="auto"/>
          <w:sz w:val="21"/>
          <w:szCs w:val="21"/>
          <w:highlight w:val="none"/>
        </w:rPr>
        <w:t>评分从高到低</w:t>
      </w:r>
      <w:r>
        <w:rPr>
          <w:rFonts w:hint="eastAsia" w:ascii="宋体" w:hAnsi="宋体" w:eastAsia="宋体" w:cs="宋体"/>
          <w:color w:val="auto"/>
          <w:sz w:val="21"/>
          <w:szCs w:val="21"/>
          <w:highlight w:val="none"/>
        </w:rPr>
        <w:t>确定中标人，新的中标人继续适用于本条款，或者重新组织采购。如果替补的中标候选人同样存在不符合中标资格情况的，依次</w:t>
      </w:r>
      <w:r>
        <w:rPr>
          <w:rFonts w:ascii="宋体" w:hAnsi="宋体" w:eastAsia="宋体" w:cs="宋体"/>
          <w:color w:val="auto"/>
          <w:sz w:val="21"/>
          <w:szCs w:val="21"/>
          <w:highlight w:val="none"/>
        </w:rPr>
        <w:t>类推，</w:t>
      </w:r>
      <w:r>
        <w:rPr>
          <w:rFonts w:hint="eastAsia" w:ascii="宋体" w:hAnsi="宋体" w:eastAsia="宋体" w:cs="宋体"/>
          <w:color w:val="auto"/>
          <w:sz w:val="21"/>
          <w:szCs w:val="21"/>
          <w:highlight w:val="none"/>
        </w:rPr>
        <w:t>没有</w:t>
      </w:r>
      <w:r>
        <w:rPr>
          <w:rFonts w:ascii="宋体" w:hAnsi="宋体" w:eastAsia="宋体" w:cs="宋体"/>
          <w:color w:val="auto"/>
          <w:sz w:val="21"/>
          <w:szCs w:val="21"/>
          <w:highlight w:val="none"/>
        </w:rPr>
        <w:t>中标人的</w:t>
      </w:r>
      <w:r>
        <w:rPr>
          <w:rFonts w:hint="eastAsia" w:ascii="宋体" w:hAnsi="宋体" w:eastAsia="宋体" w:cs="宋体"/>
          <w:color w:val="auto"/>
          <w:sz w:val="21"/>
          <w:szCs w:val="21"/>
          <w:highlight w:val="none"/>
        </w:rPr>
        <w:t>本项目重新招标。</w:t>
      </w:r>
    </w:p>
    <w:p w14:paraId="5E6E9F18">
      <w:pPr>
        <w:spacing w:line="360" w:lineRule="auto"/>
        <w:ind w:firstLine="482"/>
        <w:jc w:val="center"/>
        <w:outlineLvl w:val="1"/>
        <w:rPr>
          <w:rFonts w:ascii="宋体" w:hAnsi="宋体" w:eastAsia="宋体" w:cs="宋体"/>
          <w:b/>
          <w:bCs/>
          <w:color w:val="auto"/>
          <w:sz w:val="21"/>
          <w:szCs w:val="21"/>
          <w:highlight w:val="none"/>
        </w:rPr>
      </w:pPr>
      <w:bookmarkStart w:id="266" w:name="_Toc1836"/>
      <w:r>
        <w:rPr>
          <w:rFonts w:hint="eastAsia" w:ascii="宋体" w:hAnsi="宋体" w:eastAsia="宋体" w:cs="宋体"/>
          <w:b/>
          <w:bCs/>
          <w:color w:val="auto"/>
          <w:sz w:val="21"/>
          <w:szCs w:val="21"/>
          <w:highlight w:val="none"/>
        </w:rPr>
        <w:t>七、投标人义务</w:t>
      </w:r>
      <w:bookmarkEnd w:id="266"/>
    </w:p>
    <w:p w14:paraId="565A3A57">
      <w:pPr>
        <w:spacing w:line="360" w:lineRule="auto"/>
        <w:ind w:firstLine="48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评标期间，投标人应随时随地答复评标委员会的询标，解答包括有关的商务、技术问题等。</w:t>
      </w:r>
    </w:p>
    <w:p w14:paraId="5BEA668A">
      <w:pPr>
        <w:spacing w:line="360" w:lineRule="auto"/>
        <w:ind w:firstLine="0" w:firstLineChars="0"/>
        <w:rPr>
          <w:rFonts w:ascii="宋体" w:hAnsi="宋体" w:eastAsia="宋体" w:cs="宋体"/>
          <w:color w:val="auto"/>
          <w:sz w:val="21"/>
          <w:szCs w:val="21"/>
          <w:highlight w:val="none"/>
          <w:lang w:val="zh-CN"/>
        </w:rPr>
      </w:pPr>
    </w:p>
    <w:p w14:paraId="45FF7898">
      <w:pPr>
        <w:spacing w:line="360" w:lineRule="auto"/>
        <w:ind w:firstLine="0" w:firstLineChars="0"/>
        <w:rPr>
          <w:rFonts w:ascii="宋体" w:hAnsi="宋体" w:eastAsia="宋体" w:cs="宋体"/>
          <w:color w:val="auto"/>
          <w:highlight w:val="none"/>
        </w:rPr>
      </w:pPr>
      <w:r>
        <w:rPr>
          <w:rFonts w:hint="eastAsia" w:ascii="宋体" w:hAnsi="宋体" w:eastAsia="宋体" w:cs="宋体"/>
          <w:color w:val="auto"/>
          <w:highlight w:val="none"/>
          <w:lang w:val="zh-CN"/>
        </w:rPr>
        <w:br w:type="page"/>
      </w:r>
    </w:p>
    <w:p w14:paraId="46DB9704">
      <w:pPr>
        <w:pStyle w:val="3"/>
        <w:spacing w:before="335" w:after="335"/>
        <w:rPr>
          <w:rFonts w:ascii="宋体" w:hAnsi="宋体" w:eastAsia="宋体" w:cs="宋体"/>
          <w:color w:val="auto"/>
          <w:highlight w:val="none"/>
        </w:rPr>
      </w:pPr>
      <w:bookmarkStart w:id="267" w:name="_Toc9103"/>
      <w:bookmarkStart w:id="268" w:name="_Toc12495"/>
      <w:bookmarkStart w:id="269" w:name="_Toc5463"/>
      <w:bookmarkStart w:id="270" w:name="_Toc6862"/>
      <w:bookmarkStart w:id="271" w:name="_Toc3844"/>
      <w:bookmarkStart w:id="272" w:name="_Toc22571"/>
      <w:bookmarkStart w:id="273" w:name="_Toc7964"/>
      <w:bookmarkStart w:id="274" w:name="_Toc3635"/>
      <w:r>
        <w:rPr>
          <w:rFonts w:hint="eastAsia" w:ascii="宋体" w:hAnsi="宋体" w:eastAsia="宋体" w:cs="宋体"/>
          <w:color w:val="auto"/>
          <w:highlight w:val="none"/>
          <w:lang w:val="zh-CN"/>
        </w:rPr>
        <w:t>第六章</w:t>
      </w:r>
      <w:r>
        <w:rPr>
          <w:rFonts w:hint="eastAsia" w:ascii="宋体" w:hAnsi="宋体" w:eastAsia="宋体" w:cs="宋体"/>
          <w:color w:val="auto"/>
          <w:highlight w:val="none"/>
        </w:rPr>
        <w:t xml:space="preserve">  应提交的有关格式范例</w:t>
      </w:r>
      <w:bookmarkEnd w:id="218"/>
      <w:bookmarkEnd w:id="219"/>
      <w:bookmarkEnd w:id="220"/>
      <w:bookmarkEnd w:id="221"/>
      <w:bookmarkEnd w:id="267"/>
      <w:bookmarkEnd w:id="268"/>
      <w:bookmarkEnd w:id="269"/>
      <w:bookmarkEnd w:id="270"/>
      <w:bookmarkEnd w:id="271"/>
      <w:bookmarkEnd w:id="272"/>
      <w:bookmarkEnd w:id="273"/>
      <w:bookmarkEnd w:id="274"/>
    </w:p>
    <w:p w14:paraId="3C566722">
      <w:pPr>
        <w:ind w:firstLine="482"/>
        <w:jc w:val="center"/>
        <w:rPr>
          <w:rFonts w:ascii="宋体" w:hAnsi="宋体" w:eastAsia="宋体" w:cs="宋体"/>
          <w:b/>
          <w:bCs/>
          <w:color w:val="auto"/>
          <w:sz w:val="32"/>
          <w:szCs w:val="32"/>
          <w:highlight w:val="none"/>
        </w:rPr>
      </w:pPr>
      <w:bookmarkStart w:id="275" w:name="_Toc6687"/>
      <w:bookmarkStart w:id="276" w:name="_Toc28591"/>
      <w:bookmarkStart w:id="277" w:name="_Toc6407"/>
      <w:r>
        <w:rPr>
          <w:rFonts w:hint="eastAsia" w:ascii="宋体" w:hAnsi="宋体" w:eastAsia="宋体" w:cs="宋体"/>
          <w:b/>
          <w:bCs/>
          <w:color w:val="auto"/>
          <w:highlight w:val="none"/>
        </w:rPr>
        <w:t>一、投标文件外包装封面</w:t>
      </w:r>
      <w:bookmarkEnd w:id="275"/>
      <w:bookmarkEnd w:id="276"/>
      <w:bookmarkEnd w:id="277"/>
    </w:p>
    <w:p w14:paraId="0ADE4D79">
      <w:pPr>
        <w:spacing w:line="240" w:lineRule="auto"/>
        <w:ind w:firstLine="0" w:firstLineChars="0"/>
        <w:jc w:val="center"/>
        <w:outlineLvl w:val="0"/>
        <w:rPr>
          <w:rFonts w:hint="eastAsia" w:ascii="宋体" w:hAnsi="宋体" w:eastAsia="宋体" w:cs="宋体"/>
          <w:b/>
          <w:bCs/>
          <w:color w:val="auto"/>
          <w:sz w:val="44"/>
          <w:szCs w:val="44"/>
          <w:highlight w:val="none"/>
          <w:lang w:eastAsia="zh-CN"/>
        </w:rPr>
      </w:pPr>
      <w:r>
        <w:rPr>
          <w:rFonts w:hint="eastAsia" w:ascii="宋体" w:hAnsi="宋体" w:eastAsia="宋体" w:cs="宋体"/>
          <w:b/>
          <w:bCs/>
          <w:color w:val="auto"/>
          <w:sz w:val="52"/>
          <w:szCs w:val="52"/>
          <w:highlight w:val="none"/>
        </w:rPr>
        <w:t xml:space="preserve"> </w:t>
      </w:r>
      <w:r>
        <w:rPr>
          <w:rFonts w:hint="eastAsia" w:ascii="宋体" w:hAnsi="宋体" w:eastAsia="宋体" w:cs="宋体"/>
          <w:b/>
          <w:bCs/>
          <w:color w:val="auto"/>
          <w:sz w:val="44"/>
          <w:szCs w:val="44"/>
          <w:highlight w:val="none"/>
          <w:lang w:eastAsia="zh-CN"/>
        </w:rPr>
        <w:t>2025年龙游华水水业发展有限公司劳务承包采购项目（重招）</w:t>
      </w:r>
    </w:p>
    <w:p w14:paraId="0398CBC0">
      <w:pPr>
        <w:ind w:firstLine="562"/>
        <w:rPr>
          <w:rFonts w:ascii="宋体" w:hAnsi="宋体" w:eastAsia="宋体" w:cs="宋体"/>
          <w:b/>
          <w:bCs/>
          <w:color w:val="auto"/>
          <w:sz w:val="28"/>
          <w:szCs w:val="28"/>
          <w:highlight w:val="none"/>
        </w:rPr>
      </w:pPr>
    </w:p>
    <w:p w14:paraId="726E45A3">
      <w:pPr>
        <w:ind w:firstLine="0" w:firstLineChars="0"/>
        <w:rPr>
          <w:rFonts w:ascii="宋体" w:hAnsi="宋体" w:eastAsia="宋体" w:cs="宋体"/>
          <w:b/>
          <w:bCs/>
          <w:color w:val="auto"/>
          <w:sz w:val="28"/>
          <w:szCs w:val="28"/>
          <w:highlight w:val="none"/>
        </w:rPr>
      </w:pPr>
    </w:p>
    <w:p w14:paraId="1DFF0FCA">
      <w:pPr>
        <w:adjustRightInd w:val="0"/>
        <w:snapToGrid w:val="0"/>
        <w:spacing w:before="167" w:beforeLines="50" w:after="50"/>
        <w:ind w:firstLine="1440"/>
        <w:outlineLvl w:val="0"/>
        <w:rPr>
          <w:rFonts w:ascii="黑体" w:hAnsi="黑体" w:eastAsia="黑体"/>
          <w:color w:val="auto"/>
          <w:sz w:val="72"/>
          <w:szCs w:val="72"/>
          <w:highlight w:val="none"/>
        </w:rPr>
      </w:pPr>
      <w:r>
        <w:rPr>
          <w:rFonts w:hint="eastAsia" w:ascii="黑体" w:hAnsi="黑体" w:eastAsia="黑体"/>
          <w:color w:val="auto"/>
          <w:sz w:val="72"/>
          <w:szCs w:val="72"/>
          <w:highlight w:val="none"/>
        </w:rPr>
        <w:t xml:space="preserve">     </w:t>
      </w:r>
      <w:bookmarkStart w:id="278" w:name="_Toc24767"/>
      <w:bookmarkStart w:id="279" w:name="_Toc68"/>
      <w:r>
        <w:rPr>
          <w:rFonts w:hint="eastAsia" w:ascii="黑体" w:hAnsi="黑体" w:eastAsia="黑体"/>
          <w:color w:val="auto"/>
          <w:sz w:val="72"/>
          <w:szCs w:val="72"/>
          <w:highlight w:val="none"/>
        </w:rPr>
        <w:t>投标</w:t>
      </w:r>
      <w:r>
        <w:rPr>
          <w:rFonts w:ascii="黑体" w:hAnsi="黑体" w:eastAsia="黑体"/>
          <w:color w:val="auto"/>
          <w:sz w:val="72"/>
          <w:szCs w:val="72"/>
          <w:highlight w:val="none"/>
        </w:rPr>
        <w:t>文件</w:t>
      </w:r>
      <w:bookmarkEnd w:id="278"/>
      <w:bookmarkEnd w:id="279"/>
    </w:p>
    <w:p w14:paraId="2335552E">
      <w:pPr>
        <w:adjustRightInd w:val="0"/>
        <w:snapToGrid w:val="0"/>
        <w:ind w:firstLine="640"/>
        <w:jc w:val="center"/>
        <w:rPr>
          <w:rFonts w:hAnsi="宋体"/>
          <w:bCs/>
          <w:color w:val="auto"/>
          <w:sz w:val="32"/>
          <w:szCs w:val="72"/>
          <w:highlight w:val="none"/>
        </w:rPr>
      </w:pPr>
      <w:bookmarkStart w:id="280" w:name="_Toc452528640"/>
      <w:bookmarkStart w:id="281" w:name="_Toc457974261"/>
      <w:bookmarkStart w:id="282" w:name="_Toc476833084"/>
    </w:p>
    <w:p w14:paraId="47A1D441">
      <w:pPr>
        <w:adjustRightInd w:val="0"/>
        <w:snapToGrid w:val="0"/>
        <w:ind w:firstLine="0" w:firstLineChars="0"/>
        <w:jc w:val="center"/>
        <w:outlineLvl w:val="0"/>
        <w:rPr>
          <w:rFonts w:ascii="宋体" w:hAnsi="宋体" w:eastAsia="宋体" w:cs="宋体"/>
          <w:color w:val="auto"/>
          <w:sz w:val="32"/>
          <w:szCs w:val="32"/>
          <w:highlight w:val="none"/>
        </w:rPr>
      </w:pPr>
      <w:bookmarkStart w:id="283" w:name="_Toc28037"/>
      <w:bookmarkStart w:id="284" w:name="_Toc1742"/>
      <w:r>
        <w:rPr>
          <w:rFonts w:hint="eastAsia" w:ascii="宋体" w:hAnsi="宋体" w:eastAsia="宋体" w:cs="宋体"/>
          <w:bCs/>
          <w:color w:val="auto"/>
          <w:sz w:val="32"/>
          <w:szCs w:val="32"/>
          <w:highlight w:val="none"/>
        </w:rPr>
        <w:t>（</w:t>
      </w:r>
      <w:r>
        <w:rPr>
          <w:rFonts w:hint="eastAsia" w:ascii="宋体" w:hAnsi="宋体" w:eastAsia="宋体" w:cs="宋体"/>
          <w:b/>
          <w:color w:val="auto"/>
          <w:sz w:val="32"/>
          <w:szCs w:val="32"/>
          <w:highlight w:val="none"/>
        </w:rPr>
        <w:t>资格审查文件/资信技术文件/报价文件</w:t>
      </w:r>
      <w:r>
        <w:rPr>
          <w:rFonts w:hint="eastAsia" w:ascii="宋体" w:hAnsi="宋体" w:eastAsia="宋体" w:cs="宋体"/>
          <w:bCs/>
          <w:color w:val="auto"/>
          <w:sz w:val="32"/>
          <w:szCs w:val="32"/>
          <w:highlight w:val="none"/>
        </w:rPr>
        <w:t>）</w:t>
      </w:r>
      <w:bookmarkEnd w:id="280"/>
      <w:bookmarkEnd w:id="281"/>
      <w:bookmarkEnd w:id="282"/>
      <w:bookmarkEnd w:id="283"/>
      <w:bookmarkEnd w:id="284"/>
    </w:p>
    <w:p w14:paraId="599A0893">
      <w:pPr>
        <w:adjustRightInd w:val="0"/>
        <w:snapToGrid w:val="0"/>
        <w:spacing w:before="167" w:beforeLines="50" w:after="50"/>
        <w:ind w:firstLine="640"/>
        <w:jc w:val="center"/>
        <w:rPr>
          <w:rFonts w:ascii="宋体" w:hAnsi="宋体" w:eastAsia="宋体" w:cs="宋体"/>
          <w:color w:val="auto"/>
          <w:sz w:val="32"/>
          <w:szCs w:val="32"/>
          <w:highlight w:val="none"/>
        </w:rPr>
      </w:pPr>
    </w:p>
    <w:p w14:paraId="212A5A8B">
      <w:pPr>
        <w:adjustRightInd w:val="0"/>
        <w:snapToGrid w:val="0"/>
        <w:spacing w:before="167" w:beforeLines="50" w:after="50"/>
        <w:ind w:firstLine="0" w:firstLineChars="0"/>
        <w:rPr>
          <w:rFonts w:ascii="宋体" w:hAnsi="宋体" w:eastAsia="宋体" w:cs="宋体"/>
          <w:b/>
          <w:bCs/>
          <w:color w:val="auto"/>
          <w:sz w:val="28"/>
          <w:szCs w:val="28"/>
          <w:highlight w:val="none"/>
        </w:rPr>
      </w:pPr>
      <w:r>
        <w:rPr>
          <w:rFonts w:hint="eastAsia" w:ascii="宋体" w:hAnsi="宋体" w:eastAsia="宋体" w:cs="宋体"/>
          <w:color w:val="auto"/>
          <w:sz w:val="32"/>
          <w:szCs w:val="32"/>
          <w:highlight w:val="none"/>
        </w:rPr>
        <w:t xml:space="preserve">            </w:t>
      </w:r>
    </w:p>
    <w:p w14:paraId="28072E24">
      <w:pPr>
        <w:pStyle w:val="57"/>
        <w:spacing w:before="167" w:after="167" w:line="360" w:lineRule="auto"/>
        <w:ind w:firstLine="0" w:firstLineChars="0"/>
        <w:outlineLvl w:val="9"/>
        <w:rPr>
          <w:rFonts w:ascii="宋体" w:hAnsi="宋体" w:eastAsia="宋体" w:cs="宋体"/>
          <w:color w:val="auto"/>
          <w:sz w:val="30"/>
          <w:szCs w:val="30"/>
          <w:highlight w:val="none"/>
          <w:u w:val="single"/>
        </w:rPr>
      </w:pPr>
    </w:p>
    <w:p w14:paraId="2F4E4952">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85" w:name="_Toc1435"/>
      <w:bookmarkStart w:id="286" w:name="_Toc29931"/>
      <w:r>
        <w:rPr>
          <w:rFonts w:hint="eastAsia" w:ascii="宋体" w:hAnsi="宋体" w:eastAsia="宋体" w:cs="宋体"/>
          <w:color w:val="auto"/>
          <w:sz w:val="30"/>
          <w:szCs w:val="30"/>
          <w:highlight w:val="none"/>
        </w:rPr>
        <w:t>项目编号</w:t>
      </w:r>
      <w:r>
        <w:rPr>
          <w:rFonts w:hint="eastAsia" w:ascii="宋体" w:hAnsi="宋体" w:eastAsia="宋体" w:cs="宋体"/>
          <w:color w:val="auto"/>
          <w:sz w:val="30"/>
          <w:szCs w:val="30"/>
          <w:highlight w:val="none"/>
          <w:u w:val="single"/>
        </w:rPr>
        <w:t>：</w:t>
      </w:r>
      <w:bookmarkEnd w:id="285"/>
      <w:r>
        <w:rPr>
          <w:rFonts w:hint="eastAsia" w:ascii="宋体" w:hAnsi="宋体" w:eastAsia="宋体" w:cs="宋体"/>
          <w:color w:val="auto"/>
          <w:sz w:val="30"/>
          <w:szCs w:val="30"/>
          <w:highlight w:val="none"/>
          <w:u w:val="single"/>
        </w:rPr>
        <w:t xml:space="preserve"> </w:t>
      </w:r>
      <w:bookmarkEnd w:id="286"/>
      <w:r>
        <w:rPr>
          <w:rFonts w:hint="eastAsia" w:ascii="宋体" w:hAnsi="宋体" w:eastAsia="宋体" w:cs="宋体"/>
          <w:color w:val="auto"/>
          <w:sz w:val="30"/>
          <w:szCs w:val="30"/>
          <w:highlight w:val="none"/>
          <w:u w:val="single"/>
          <w:lang w:eastAsia="zh-CN"/>
        </w:rPr>
        <w:t xml:space="preserve">LYCG2025TY-045 </w:t>
      </w:r>
      <w:r>
        <w:rPr>
          <w:rFonts w:hint="eastAsia" w:ascii="宋体" w:hAnsi="宋体" w:eastAsia="宋体" w:cs="宋体"/>
          <w:color w:val="auto"/>
          <w:sz w:val="30"/>
          <w:szCs w:val="30"/>
          <w:highlight w:val="none"/>
          <w:u w:val="single"/>
        </w:rPr>
        <w:t xml:space="preserve">                 </w:t>
      </w:r>
    </w:p>
    <w:p w14:paraId="0BB20AC4">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87" w:name="_Toc18427"/>
      <w:bookmarkStart w:id="288" w:name="_Toc13804"/>
      <w:r>
        <w:rPr>
          <w:rFonts w:hint="eastAsia" w:ascii="宋体" w:hAnsi="宋体" w:eastAsia="宋体" w:cs="宋体"/>
          <w:color w:val="auto"/>
          <w:sz w:val="30"/>
          <w:szCs w:val="30"/>
          <w:highlight w:val="none"/>
        </w:rPr>
        <w:t>投标人名称：</w:t>
      </w:r>
      <w:r>
        <w:rPr>
          <w:rFonts w:hint="eastAsia" w:ascii="宋体" w:hAnsi="宋体" w:eastAsia="宋体" w:cs="宋体"/>
          <w:color w:val="auto"/>
          <w:sz w:val="30"/>
          <w:szCs w:val="30"/>
          <w:highlight w:val="none"/>
          <w:u w:val="single"/>
        </w:rPr>
        <w:t xml:space="preserve"> （盖章）</w:t>
      </w:r>
      <w:bookmarkEnd w:id="287"/>
      <w:bookmarkEnd w:id="288"/>
      <w:r>
        <w:rPr>
          <w:rFonts w:hint="eastAsia" w:ascii="宋体" w:hAnsi="宋体" w:eastAsia="宋体" w:cs="宋体"/>
          <w:color w:val="auto"/>
          <w:sz w:val="30"/>
          <w:szCs w:val="30"/>
          <w:highlight w:val="none"/>
          <w:u w:val="single"/>
        </w:rPr>
        <w:t xml:space="preserve">                    </w:t>
      </w:r>
    </w:p>
    <w:p w14:paraId="3A3B3044">
      <w:pPr>
        <w:snapToGrid w:val="0"/>
        <w:spacing w:line="480" w:lineRule="auto"/>
        <w:ind w:firstLine="1500" w:firstLineChars="500"/>
        <w:outlineLvl w:val="0"/>
        <w:rPr>
          <w:rFonts w:ascii="宋体" w:hAnsi="宋体" w:eastAsia="宋体" w:cs="宋体"/>
          <w:color w:val="auto"/>
          <w:sz w:val="30"/>
          <w:szCs w:val="30"/>
          <w:highlight w:val="none"/>
        </w:rPr>
      </w:pPr>
      <w:bookmarkStart w:id="289" w:name="_Toc24383"/>
      <w:bookmarkStart w:id="290" w:name="_Toc20344"/>
      <w:r>
        <w:rPr>
          <w:rFonts w:hint="eastAsia" w:ascii="宋体" w:hAnsi="宋体" w:eastAsia="宋体" w:cs="宋体"/>
          <w:color w:val="auto"/>
          <w:sz w:val="30"/>
          <w:szCs w:val="30"/>
          <w:highlight w:val="none"/>
        </w:rPr>
        <w:t>法定代表人或授权委托人：</w:t>
      </w:r>
      <w:r>
        <w:rPr>
          <w:rFonts w:hint="eastAsia" w:ascii="宋体" w:hAnsi="宋体" w:eastAsia="宋体" w:cs="宋体"/>
          <w:color w:val="auto"/>
          <w:sz w:val="30"/>
          <w:szCs w:val="30"/>
          <w:highlight w:val="none"/>
          <w:u w:val="single"/>
        </w:rPr>
        <w:t>（签字或盖章）</w:t>
      </w:r>
      <w:bookmarkEnd w:id="289"/>
      <w:bookmarkEnd w:id="290"/>
      <w:r>
        <w:rPr>
          <w:rFonts w:hint="eastAsia" w:ascii="宋体" w:hAnsi="宋体" w:eastAsia="宋体" w:cs="宋体"/>
          <w:color w:val="auto"/>
          <w:sz w:val="30"/>
          <w:szCs w:val="30"/>
          <w:highlight w:val="none"/>
          <w:u w:val="single"/>
        </w:rPr>
        <w:t xml:space="preserve">   </w:t>
      </w:r>
    </w:p>
    <w:p w14:paraId="1E3A94E5">
      <w:pPr>
        <w:snapToGrid w:val="0"/>
        <w:spacing w:line="480" w:lineRule="auto"/>
        <w:ind w:firstLine="1500" w:firstLineChars="500"/>
        <w:outlineLvl w:val="0"/>
        <w:rPr>
          <w:rFonts w:ascii="宋体" w:hAnsi="宋体" w:eastAsia="宋体" w:cs="宋体"/>
          <w:color w:val="auto"/>
          <w:sz w:val="30"/>
          <w:szCs w:val="30"/>
          <w:highlight w:val="none"/>
          <w:u w:val="single"/>
        </w:rPr>
      </w:pPr>
      <w:bookmarkStart w:id="291" w:name="_Toc27733"/>
      <w:bookmarkStart w:id="292" w:name="_Toc2167"/>
      <w:r>
        <w:rPr>
          <w:rFonts w:hint="eastAsia" w:ascii="宋体" w:hAnsi="宋体" w:eastAsia="宋体" w:cs="宋体"/>
          <w:color w:val="auto"/>
          <w:sz w:val="30"/>
          <w:szCs w:val="30"/>
          <w:highlight w:val="none"/>
        </w:rPr>
        <w:t>投标人地址</w:t>
      </w:r>
      <w:r>
        <w:rPr>
          <w:rFonts w:hint="eastAsia" w:ascii="宋体" w:hAnsi="宋体" w:eastAsia="宋体" w:cs="宋体"/>
          <w:color w:val="auto"/>
          <w:sz w:val="30"/>
          <w:szCs w:val="30"/>
          <w:highlight w:val="none"/>
          <w:u w:val="single"/>
        </w:rPr>
        <w:t>：</w:t>
      </w:r>
      <w:bookmarkEnd w:id="291"/>
      <w:bookmarkEnd w:id="292"/>
      <w:r>
        <w:rPr>
          <w:rFonts w:hint="eastAsia" w:ascii="宋体" w:hAnsi="宋体" w:eastAsia="宋体" w:cs="宋体"/>
          <w:color w:val="auto"/>
          <w:sz w:val="30"/>
          <w:szCs w:val="30"/>
          <w:highlight w:val="none"/>
          <w:u w:val="single"/>
        </w:rPr>
        <w:t xml:space="preserve">                             </w:t>
      </w:r>
    </w:p>
    <w:p w14:paraId="6C9F887D">
      <w:pPr>
        <w:adjustRightInd w:val="0"/>
        <w:snapToGrid w:val="0"/>
        <w:spacing w:before="167" w:beforeLines="50" w:after="50"/>
        <w:ind w:firstLine="0" w:firstLineChars="0"/>
        <w:jc w:val="center"/>
        <w:outlineLvl w:val="0"/>
        <w:rPr>
          <w:rFonts w:ascii="宋体" w:hAnsi="宋体" w:eastAsia="宋体" w:cs="宋体"/>
          <w:color w:val="auto"/>
          <w:sz w:val="32"/>
          <w:szCs w:val="32"/>
          <w:highlight w:val="none"/>
        </w:rPr>
      </w:pPr>
      <w:bookmarkStart w:id="293" w:name="_Toc24110"/>
      <w:bookmarkStart w:id="294" w:name="_Toc7849"/>
      <w:r>
        <w:rPr>
          <w:rFonts w:hint="eastAsia" w:ascii="宋体" w:hAnsi="宋体" w:eastAsia="宋体" w:cs="宋体"/>
          <w:color w:val="auto"/>
          <w:sz w:val="32"/>
          <w:szCs w:val="32"/>
          <w:highlight w:val="none"/>
        </w:rPr>
        <w:t>编制日期：   年   月   日</w:t>
      </w:r>
      <w:bookmarkEnd w:id="293"/>
      <w:bookmarkEnd w:id="294"/>
    </w:p>
    <w:p w14:paraId="1958A7AE">
      <w:pPr>
        <w:snapToGrid w:val="0"/>
        <w:spacing w:before="167" w:beforeLines="50" w:after="50"/>
        <w:ind w:firstLine="562"/>
        <w:jc w:val="center"/>
        <w:rPr>
          <w:rFonts w:ascii="宋体" w:hAnsi="宋体" w:eastAsia="宋体" w:cs="宋体"/>
          <w:b/>
          <w:color w:val="auto"/>
          <w:sz w:val="28"/>
          <w:szCs w:val="28"/>
          <w:highlight w:val="none"/>
        </w:rPr>
      </w:pPr>
      <w:r>
        <w:rPr>
          <w:rFonts w:hint="eastAsia" w:ascii="宋体" w:hAnsi="宋体" w:eastAsia="宋体" w:cs="宋体"/>
          <w:b/>
          <w:color w:val="auto"/>
          <w:sz w:val="28"/>
          <w:szCs w:val="28"/>
          <w:highlight w:val="none"/>
          <w:u w:val="single"/>
        </w:rPr>
        <w:t>（响应截止时间）</w:t>
      </w:r>
      <w:r>
        <w:rPr>
          <w:rFonts w:hint="eastAsia" w:ascii="宋体" w:hAnsi="宋体" w:eastAsia="宋体" w:cs="宋体"/>
          <w:b/>
          <w:color w:val="auto"/>
          <w:sz w:val="28"/>
          <w:szCs w:val="28"/>
          <w:highlight w:val="none"/>
        </w:rPr>
        <w:t>前不得启封</w:t>
      </w:r>
    </w:p>
    <w:p w14:paraId="3157CE1F">
      <w:pPr>
        <w:keepNext/>
        <w:keepLines/>
        <w:ind w:firstLine="56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bookmarkStart w:id="295" w:name="_Toc84325982"/>
      <w:bookmarkStart w:id="296" w:name="_Toc80157776"/>
      <w:bookmarkStart w:id="297" w:name="_Toc81372965"/>
      <w:bookmarkStart w:id="298" w:name="_Toc81372788"/>
    </w:p>
    <w:p w14:paraId="2BD5CB97">
      <w:pPr>
        <w:snapToGrid w:val="0"/>
        <w:spacing w:before="167" w:beforeLines="50" w:after="50"/>
        <w:ind w:firstLine="482"/>
        <w:rPr>
          <w:rFonts w:ascii="宋体" w:hAnsi="宋体" w:eastAsia="宋体" w:cs="宋体"/>
          <w:b/>
          <w:bCs/>
          <w:color w:val="auto"/>
          <w:highlight w:val="none"/>
        </w:rPr>
      </w:pPr>
      <w:r>
        <w:rPr>
          <w:rFonts w:hint="eastAsia" w:ascii="宋体" w:hAnsi="宋体" w:eastAsia="宋体" w:cs="宋体"/>
          <w:b/>
          <w:bCs/>
          <w:color w:val="auto"/>
          <w:highlight w:val="none"/>
        </w:rPr>
        <w:t>正本/或副本</w:t>
      </w:r>
    </w:p>
    <w:p w14:paraId="31D8C585">
      <w:pPr>
        <w:snapToGrid w:val="0"/>
        <w:spacing w:before="167" w:beforeLines="50" w:after="50"/>
        <w:ind w:firstLine="482"/>
        <w:rPr>
          <w:rFonts w:ascii="宋体" w:hAnsi="宋体" w:eastAsia="宋体" w:cs="宋体"/>
          <w:b/>
          <w:bCs/>
          <w:color w:val="auto"/>
          <w:highlight w:val="none"/>
        </w:rPr>
      </w:pPr>
    </w:p>
    <w:p w14:paraId="33A3A6C6">
      <w:pPr>
        <w:spacing w:line="240" w:lineRule="auto"/>
        <w:ind w:firstLine="0" w:firstLineChars="0"/>
        <w:jc w:val="center"/>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 xml:space="preserve"> </w:t>
      </w:r>
      <w:r>
        <w:rPr>
          <w:rFonts w:hint="eastAsia" w:ascii="宋体" w:hAnsi="宋体" w:eastAsia="宋体" w:cs="宋体"/>
          <w:b/>
          <w:bCs/>
          <w:color w:val="auto"/>
          <w:sz w:val="36"/>
          <w:szCs w:val="36"/>
          <w:highlight w:val="none"/>
          <w:lang w:eastAsia="zh-CN"/>
        </w:rPr>
        <w:t>2025年龙游华水水业发展有限公司劳务承包采购项目（重招）</w:t>
      </w:r>
    </w:p>
    <w:p w14:paraId="7177DF00">
      <w:pPr>
        <w:ind w:firstLine="723"/>
        <w:jc w:val="center"/>
        <w:rPr>
          <w:rFonts w:ascii="宋体" w:hAnsi="宋体" w:eastAsia="宋体" w:cs="宋体"/>
          <w:b/>
          <w:bCs/>
          <w:color w:val="auto"/>
          <w:sz w:val="36"/>
          <w:szCs w:val="36"/>
          <w:highlight w:val="none"/>
        </w:rPr>
      </w:pPr>
    </w:p>
    <w:p w14:paraId="44E4B1F2">
      <w:pPr>
        <w:ind w:firstLine="0" w:firstLineChars="0"/>
        <w:jc w:val="center"/>
        <w:rPr>
          <w:rFonts w:ascii="宋体" w:hAnsi="宋体" w:eastAsia="宋体" w:cs="宋体"/>
          <w:b/>
          <w:bCs/>
          <w:color w:val="auto"/>
          <w:sz w:val="36"/>
          <w:szCs w:val="36"/>
          <w:highlight w:val="none"/>
        </w:rPr>
      </w:pPr>
    </w:p>
    <w:p w14:paraId="207765B1">
      <w:pPr>
        <w:adjustRightInd w:val="0"/>
        <w:snapToGrid w:val="0"/>
        <w:spacing w:before="167" w:beforeLines="50" w:after="50"/>
        <w:ind w:firstLine="0" w:firstLineChars="0"/>
        <w:jc w:val="center"/>
        <w:rPr>
          <w:rFonts w:ascii="黑体" w:hAnsi="黑体" w:eastAsia="黑体"/>
          <w:color w:val="auto"/>
          <w:sz w:val="72"/>
          <w:szCs w:val="72"/>
          <w:highlight w:val="none"/>
        </w:rPr>
      </w:pPr>
      <w:r>
        <w:rPr>
          <w:rFonts w:hint="eastAsia" w:ascii="黑体" w:hAnsi="黑体" w:eastAsia="黑体"/>
          <w:color w:val="auto"/>
          <w:sz w:val="72"/>
          <w:szCs w:val="72"/>
          <w:highlight w:val="none"/>
        </w:rPr>
        <w:t>投标</w:t>
      </w:r>
      <w:r>
        <w:rPr>
          <w:rFonts w:ascii="黑体" w:hAnsi="黑体" w:eastAsia="黑体"/>
          <w:color w:val="auto"/>
          <w:sz w:val="72"/>
          <w:szCs w:val="72"/>
          <w:highlight w:val="none"/>
        </w:rPr>
        <w:t>文件</w:t>
      </w:r>
    </w:p>
    <w:p w14:paraId="17C3132A">
      <w:pPr>
        <w:snapToGrid w:val="0"/>
        <w:spacing w:before="167" w:beforeLines="50" w:after="50"/>
        <w:ind w:firstLine="0" w:firstLineChars="0"/>
        <w:rPr>
          <w:rFonts w:ascii="宋体" w:hAnsi="宋体" w:eastAsia="宋体" w:cs="宋体"/>
          <w:b/>
          <w:bCs/>
          <w:color w:val="auto"/>
          <w:sz w:val="36"/>
          <w:szCs w:val="36"/>
          <w:highlight w:val="none"/>
        </w:rPr>
      </w:pPr>
    </w:p>
    <w:p w14:paraId="39D636A5">
      <w:pPr>
        <w:ind w:firstLine="723"/>
        <w:jc w:val="center"/>
        <w:rPr>
          <w:rFonts w:ascii="宋体" w:hAnsi="宋体" w:eastAsia="宋体" w:cs="宋体"/>
          <w:b/>
          <w:bCs/>
          <w:color w:val="auto"/>
          <w:sz w:val="36"/>
          <w:szCs w:val="36"/>
          <w:highlight w:val="none"/>
        </w:rPr>
      </w:pPr>
    </w:p>
    <w:p w14:paraId="4714469D">
      <w:pPr>
        <w:snapToGrid w:val="0"/>
        <w:spacing w:before="167" w:beforeLines="50" w:after="50" w:line="240" w:lineRule="auto"/>
        <w:ind w:firstLine="0" w:firstLineChars="0"/>
        <w:jc w:val="center"/>
        <w:rPr>
          <w:rFonts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w:t>
      </w:r>
      <w:r>
        <w:rPr>
          <w:rFonts w:hint="eastAsia" w:ascii="宋体" w:hAnsi="宋体" w:eastAsia="宋体" w:cs="宋体"/>
          <w:b/>
          <w:color w:val="auto"/>
          <w:sz w:val="32"/>
          <w:szCs w:val="32"/>
          <w:highlight w:val="none"/>
        </w:rPr>
        <w:t>资格审查文件/资信技术文件/报价文件</w:t>
      </w:r>
      <w:r>
        <w:rPr>
          <w:rFonts w:hint="eastAsia" w:ascii="宋体" w:hAnsi="宋体" w:eastAsia="宋体" w:cs="宋体"/>
          <w:b/>
          <w:bCs/>
          <w:color w:val="auto"/>
          <w:sz w:val="36"/>
          <w:szCs w:val="36"/>
          <w:highlight w:val="none"/>
        </w:rPr>
        <w:t>）</w:t>
      </w:r>
    </w:p>
    <w:p w14:paraId="6B739E33">
      <w:pPr>
        <w:snapToGrid w:val="0"/>
        <w:spacing w:before="167" w:beforeLines="50" w:after="50"/>
        <w:ind w:firstLine="602"/>
        <w:jc w:val="center"/>
        <w:rPr>
          <w:rFonts w:ascii="宋体" w:hAnsi="宋体" w:eastAsia="宋体" w:cs="宋体"/>
          <w:b/>
          <w:bCs/>
          <w:color w:val="auto"/>
          <w:sz w:val="30"/>
          <w:szCs w:val="30"/>
          <w:highlight w:val="none"/>
        </w:rPr>
      </w:pPr>
    </w:p>
    <w:p w14:paraId="0DBC25B6">
      <w:pPr>
        <w:snapToGrid w:val="0"/>
        <w:spacing w:before="167" w:beforeLines="50" w:after="50" w:line="360" w:lineRule="auto"/>
        <w:ind w:firstLine="1340" w:firstLineChars="445"/>
        <w:rPr>
          <w:rFonts w:ascii="宋体" w:hAnsi="宋体" w:eastAsia="宋体" w:cs="宋体"/>
          <w:b/>
          <w:bCs/>
          <w:color w:val="auto"/>
          <w:sz w:val="30"/>
          <w:szCs w:val="30"/>
          <w:highlight w:val="none"/>
        </w:rPr>
      </w:pPr>
    </w:p>
    <w:p w14:paraId="21B975B6">
      <w:pPr>
        <w:snapToGrid w:val="0"/>
        <w:spacing w:before="167" w:beforeLines="50" w:after="50" w:line="360" w:lineRule="auto"/>
        <w:ind w:firstLine="602"/>
        <w:rPr>
          <w:rFonts w:ascii="宋体" w:hAnsi="宋体" w:eastAsia="宋体" w:cs="宋体"/>
          <w:b/>
          <w:bCs/>
          <w:color w:val="auto"/>
          <w:sz w:val="30"/>
          <w:szCs w:val="30"/>
          <w:highlight w:val="none"/>
        </w:rPr>
      </w:pPr>
    </w:p>
    <w:p w14:paraId="4196BCC4">
      <w:pPr>
        <w:pStyle w:val="11"/>
        <w:ind w:left="0" w:leftChars="0" w:firstLine="0" w:firstLineChars="0"/>
        <w:rPr>
          <w:color w:val="auto"/>
          <w:highlight w:val="none"/>
        </w:rPr>
      </w:pPr>
    </w:p>
    <w:p w14:paraId="260B374C">
      <w:pPr>
        <w:ind w:firstLine="480"/>
        <w:rPr>
          <w:rFonts w:ascii="宋体" w:hAnsi="宋体" w:eastAsia="宋体" w:cs="宋体"/>
          <w:color w:val="auto"/>
          <w:highlight w:val="none"/>
        </w:rPr>
      </w:pPr>
    </w:p>
    <w:p w14:paraId="007BD33B">
      <w:pPr>
        <w:pStyle w:val="15"/>
        <w:ind w:firstLine="482"/>
        <w:rPr>
          <w:rFonts w:ascii="宋体" w:hAnsi="宋体" w:eastAsia="宋体" w:cs="宋体"/>
          <w:b/>
          <w:color w:val="auto"/>
          <w:highlight w:val="none"/>
        </w:rPr>
      </w:pPr>
    </w:p>
    <w:p w14:paraId="3A8BE50C">
      <w:pPr>
        <w:snapToGrid w:val="0"/>
        <w:spacing w:before="167" w:beforeLines="50" w:after="50" w:line="480" w:lineRule="auto"/>
        <w:ind w:firstLine="1340" w:firstLineChars="445"/>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投标人</w:t>
      </w:r>
      <w:r>
        <w:rPr>
          <w:rFonts w:hint="eastAsia" w:ascii="宋体" w:hAnsi="宋体" w:eastAsia="宋体" w:cs="宋体"/>
          <w:b/>
          <w:bCs/>
          <w:color w:val="auto"/>
          <w:sz w:val="30"/>
          <w:szCs w:val="30"/>
          <w:highlight w:val="none"/>
          <w:lang w:val="zh-CN"/>
        </w:rPr>
        <w:t>全称</w:t>
      </w:r>
      <w:r>
        <w:rPr>
          <w:rFonts w:hint="eastAsia" w:ascii="宋体" w:hAnsi="宋体" w:eastAsia="宋体" w:cs="宋体"/>
          <w:b/>
          <w:bCs/>
          <w:color w:val="auto"/>
          <w:sz w:val="30"/>
          <w:szCs w:val="30"/>
          <w:highlight w:val="none"/>
        </w:rPr>
        <w:t>（盖章）：</w:t>
      </w:r>
      <w:r>
        <w:rPr>
          <w:rFonts w:hint="eastAsia" w:ascii="宋体" w:hAnsi="宋体" w:eastAsia="宋体" w:cs="宋体"/>
          <w:b/>
          <w:bCs/>
          <w:color w:val="auto"/>
          <w:sz w:val="30"/>
          <w:szCs w:val="30"/>
          <w:highlight w:val="none"/>
          <w:u w:val="single"/>
        </w:rPr>
        <w:t xml:space="preserve">                     </w:t>
      </w:r>
      <w:r>
        <w:rPr>
          <w:rFonts w:hint="eastAsia" w:ascii="宋体" w:hAnsi="宋体" w:eastAsia="宋体" w:cs="宋体"/>
          <w:b/>
          <w:bCs/>
          <w:color w:val="auto"/>
          <w:sz w:val="30"/>
          <w:szCs w:val="30"/>
          <w:highlight w:val="none"/>
        </w:rPr>
        <w:t xml:space="preserve">  </w:t>
      </w:r>
    </w:p>
    <w:p w14:paraId="71CC9813">
      <w:pPr>
        <w:snapToGrid w:val="0"/>
        <w:spacing w:before="167" w:beforeLines="50" w:after="50" w:line="480" w:lineRule="auto"/>
        <w:ind w:firstLine="1343" w:firstLineChars="446"/>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法定代表人或授权委托人：</w:t>
      </w:r>
      <w:r>
        <w:rPr>
          <w:rFonts w:hint="eastAsia" w:ascii="宋体" w:hAnsi="宋体" w:eastAsia="宋体" w:cs="宋体"/>
          <w:b/>
          <w:bCs/>
          <w:color w:val="auto"/>
          <w:sz w:val="30"/>
          <w:szCs w:val="30"/>
          <w:highlight w:val="none"/>
          <w:u w:val="single"/>
        </w:rPr>
        <w:t xml:space="preserve">（签字或盖章）   </w:t>
      </w:r>
    </w:p>
    <w:p w14:paraId="71CB0E93">
      <w:pPr>
        <w:snapToGrid w:val="0"/>
        <w:spacing w:before="167" w:beforeLines="50" w:after="50" w:line="480" w:lineRule="auto"/>
        <w:ind w:firstLine="1340" w:firstLineChars="445"/>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投标人地址：</w:t>
      </w:r>
      <w:r>
        <w:rPr>
          <w:rFonts w:hint="eastAsia" w:ascii="宋体" w:hAnsi="宋体" w:eastAsia="宋体" w:cs="宋体"/>
          <w:b/>
          <w:bCs/>
          <w:color w:val="auto"/>
          <w:sz w:val="30"/>
          <w:szCs w:val="30"/>
          <w:highlight w:val="none"/>
          <w:u w:val="single"/>
        </w:rPr>
        <w:t xml:space="preserve">                              </w:t>
      </w:r>
    </w:p>
    <w:p w14:paraId="0D5046E3">
      <w:pPr>
        <w:snapToGrid w:val="0"/>
        <w:spacing w:before="167" w:beforeLines="50" w:after="50" w:line="360" w:lineRule="auto"/>
        <w:ind w:firstLine="602"/>
        <w:jc w:val="center"/>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 xml:space="preserve"> 年  月  日</w:t>
      </w:r>
    </w:p>
    <w:bookmarkEnd w:id="295"/>
    <w:bookmarkEnd w:id="296"/>
    <w:bookmarkEnd w:id="297"/>
    <w:bookmarkEnd w:id="298"/>
    <w:p w14:paraId="11971D41">
      <w:pPr>
        <w:pStyle w:val="47"/>
        <w:ind w:left="0" w:leftChars="0" w:firstLine="0" w:firstLineChars="0"/>
        <w:rPr>
          <w:rFonts w:ascii="宋体" w:hAnsi="宋体" w:eastAsia="宋体" w:cs="宋体"/>
          <w:color w:val="auto"/>
          <w:highlight w:val="none"/>
        </w:rPr>
      </w:pPr>
    </w:p>
    <w:p w14:paraId="4C276294">
      <w:pPr>
        <w:pStyle w:val="47"/>
        <w:ind w:left="0" w:leftChars="0" w:firstLine="0" w:firstLineChars="0"/>
        <w:rPr>
          <w:rFonts w:ascii="宋体" w:hAnsi="宋体" w:eastAsia="宋体" w:cs="宋体"/>
          <w:color w:val="auto"/>
          <w:highlight w:val="none"/>
        </w:rPr>
      </w:pPr>
    </w:p>
    <w:p w14:paraId="2D547097">
      <w:pPr>
        <w:widowControl/>
        <w:spacing w:line="360" w:lineRule="auto"/>
        <w:ind w:firstLine="0" w:firstLineChars="0"/>
        <w:jc w:val="center"/>
        <w:rPr>
          <w:rFonts w:ascii="宋体" w:hAnsi="宋体" w:cs="宋体"/>
          <w:b/>
          <w:bCs/>
          <w:color w:val="auto"/>
          <w:sz w:val="32"/>
          <w:szCs w:val="20"/>
          <w:highlight w:val="none"/>
        </w:rPr>
      </w:pPr>
      <w:r>
        <w:rPr>
          <w:rFonts w:hint="eastAsia" w:ascii="宋体" w:hAnsi="宋体" w:cs="宋体"/>
          <w:b/>
          <w:bCs/>
          <w:color w:val="auto"/>
          <w:sz w:val="32"/>
          <w:szCs w:val="20"/>
          <w:highlight w:val="none"/>
        </w:rPr>
        <w:t>（一）资格</w:t>
      </w:r>
      <w:r>
        <w:rPr>
          <w:rFonts w:hint="eastAsia" w:ascii="宋体" w:hAnsi="宋体" w:cs="宋体"/>
          <w:b/>
          <w:bCs/>
          <w:color w:val="auto"/>
          <w:sz w:val="32"/>
          <w:szCs w:val="20"/>
          <w:highlight w:val="none"/>
          <w:lang w:val="en-US" w:eastAsia="zh-CN"/>
        </w:rPr>
        <w:t>审查</w:t>
      </w:r>
      <w:r>
        <w:rPr>
          <w:rFonts w:hint="eastAsia" w:ascii="宋体" w:hAnsi="宋体" w:cs="宋体"/>
          <w:b/>
          <w:bCs/>
          <w:color w:val="auto"/>
          <w:sz w:val="32"/>
          <w:szCs w:val="20"/>
          <w:highlight w:val="none"/>
        </w:rPr>
        <w:t>文件</w:t>
      </w:r>
    </w:p>
    <w:p w14:paraId="36C9C18E">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（一）资格审查须知</w:t>
      </w:r>
    </w:p>
    <w:p w14:paraId="027A56CE">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1、投标人必须认真填写招标文件规定的所有表格，并对其真实性负责，采购人有权对其进行调查核实和要求澄清。</w:t>
      </w:r>
    </w:p>
    <w:p w14:paraId="02D3C686">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2、资格审查按通过和不通过两种方式进行评定，投标人的资格等方面的要求作为资格审查通过的强制性资格条件，经核实有一项不符合要求，则投标人的资格为不通过，不通过的投标人对其投标文件不进行后续评审。</w:t>
      </w:r>
    </w:p>
    <w:p w14:paraId="45DE735F">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（二）资格审查资料格式</w:t>
      </w:r>
    </w:p>
    <w:p w14:paraId="1052389A">
      <w:pPr>
        <w:autoSpaceDE w:val="0"/>
        <w:autoSpaceDN w:val="0"/>
        <w:adjustRightInd w:val="0"/>
        <w:snapToGrid w:val="0"/>
        <w:spacing w:line="24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表1 强制性资格条件</w:t>
      </w:r>
    </w:p>
    <w:p w14:paraId="613FE86B">
      <w:pPr>
        <w:autoSpaceDE w:val="0"/>
        <w:autoSpaceDN w:val="0"/>
        <w:adjustRightInd w:val="0"/>
        <w:snapToGrid w:val="0"/>
        <w:spacing w:line="240" w:lineRule="auto"/>
        <w:ind w:firstLine="482"/>
        <w:jc w:val="center"/>
        <w:rPr>
          <w:rFonts w:ascii="Arial" w:hAnsi="Arial" w:eastAsia="宋体" w:cs="Arial"/>
          <w:b/>
          <w:bCs/>
          <w:color w:val="auto"/>
          <w:kern w:val="0"/>
          <w:highlight w:val="none"/>
        </w:rPr>
      </w:pPr>
      <w:r>
        <w:rPr>
          <w:rFonts w:ascii="Arial" w:hAnsi="Arial" w:eastAsia="宋体" w:cs="Arial"/>
          <w:b/>
          <w:bCs/>
          <w:color w:val="auto"/>
          <w:kern w:val="0"/>
          <w:highlight w:val="none"/>
        </w:rPr>
        <w:t>强制性资格条件表</w:t>
      </w:r>
    </w:p>
    <w:p w14:paraId="4620FC67">
      <w:pPr>
        <w:autoSpaceDE w:val="0"/>
        <w:autoSpaceDN w:val="0"/>
        <w:adjustRightInd w:val="0"/>
        <w:snapToGrid w:val="0"/>
        <w:spacing w:line="30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项目名称：</w:t>
      </w:r>
    </w:p>
    <w:p w14:paraId="188DD7AC">
      <w:pPr>
        <w:autoSpaceDE w:val="0"/>
        <w:autoSpaceDN w:val="0"/>
        <w:adjustRightInd w:val="0"/>
        <w:snapToGrid w:val="0"/>
        <w:spacing w:line="300" w:lineRule="auto"/>
        <w:ind w:firstLine="480"/>
        <w:jc w:val="left"/>
        <w:rPr>
          <w:rFonts w:ascii="Arial" w:hAnsi="Arial" w:eastAsia="宋体" w:cs="Arial"/>
          <w:color w:val="auto"/>
          <w:kern w:val="0"/>
          <w:sz w:val="21"/>
          <w:szCs w:val="21"/>
          <w:highlight w:val="none"/>
        </w:rPr>
      </w:pPr>
      <w:r>
        <w:rPr>
          <w:rFonts w:ascii="Arial" w:hAnsi="Arial" w:eastAsia="宋体" w:cs="Arial"/>
          <w:color w:val="auto"/>
          <w:kern w:val="0"/>
          <w:sz w:val="21"/>
          <w:szCs w:val="21"/>
          <w:highlight w:val="none"/>
        </w:rPr>
        <w:t>项目编号：</w:t>
      </w:r>
    </w:p>
    <w:tbl>
      <w:tblPr>
        <w:tblStyle w:val="38"/>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4236"/>
        <w:gridCol w:w="4265"/>
      </w:tblGrid>
      <w:tr w14:paraId="1F69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878" w:type="dxa"/>
            <w:vAlign w:val="center"/>
          </w:tcPr>
          <w:p w14:paraId="29D4D576">
            <w:pPr>
              <w:adjustRightInd w:val="0"/>
              <w:snapToGrid w:val="0"/>
              <w:spacing w:line="300" w:lineRule="auto"/>
              <w:ind w:firstLine="0" w:firstLineChars="0"/>
              <w:jc w:val="left"/>
              <w:rPr>
                <w:rFonts w:ascii="Arial" w:hAnsi="Arial" w:cs="Arial"/>
                <w:color w:val="auto"/>
                <w:sz w:val="21"/>
                <w:szCs w:val="21"/>
                <w:highlight w:val="none"/>
              </w:rPr>
            </w:pPr>
            <w:r>
              <w:rPr>
                <w:rFonts w:hint="eastAsia" w:ascii="宋体" w:hAnsi="宋体" w:eastAsia="宋体" w:cs="宋体"/>
                <w:color w:val="auto"/>
                <w:sz w:val="21"/>
                <w:szCs w:val="21"/>
                <w:highlight w:val="none"/>
              </w:rPr>
              <w:t>序号</w:t>
            </w:r>
          </w:p>
        </w:tc>
        <w:tc>
          <w:tcPr>
            <w:tcW w:w="4236" w:type="dxa"/>
            <w:vAlign w:val="center"/>
          </w:tcPr>
          <w:p w14:paraId="6AFA53C2">
            <w:pPr>
              <w:adjustRightInd w:val="0"/>
              <w:snapToGrid w:val="0"/>
              <w:spacing w:line="30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资格条件</w:t>
            </w:r>
          </w:p>
        </w:tc>
        <w:tc>
          <w:tcPr>
            <w:tcW w:w="4265" w:type="dxa"/>
            <w:vAlign w:val="center"/>
          </w:tcPr>
          <w:p w14:paraId="1539BC41">
            <w:pPr>
              <w:adjustRightInd w:val="0"/>
              <w:snapToGrid w:val="0"/>
              <w:spacing w:line="300" w:lineRule="auto"/>
              <w:ind w:firstLine="48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应提供的资格审查资料</w:t>
            </w:r>
          </w:p>
        </w:tc>
      </w:tr>
      <w:tr w14:paraId="68616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01CA95F3">
            <w:pPr>
              <w:adjustRightInd w:val="0"/>
              <w:snapToGrid w:val="0"/>
              <w:spacing w:line="300" w:lineRule="auto"/>
              <w:ind w:firstLine="0" w:firstLineChars="0"/>
              <w:jc w:val="center"/>
              <w:rPr>
                <w:rFonts w:ascii="Arial" w:hAnsi="Arial" w:cs="Arial"/>
                <w:b/>
                <w:bCs/>
                <w:color w:val="auto"/>
                <w:kern w:val="0"/>
                <w:highlight w:val="none"/>
              </w:rPr>
            </w:pPr>
            <w:r>
              <w:rPr>
                <w:rFonts w:ascii="Arial" w:hAnsi="Arial" w:cs="Arial"/>
                <w:b/>
                <w:bCs/>
                <w:color w:val="auto"/>
                <w:kern w:val="0"/>
                <w:highlight w:val="none"/>
              </w:rPr>
              <w:t>1.</w:t>
            </w:r>
          </w:p>
        </w:tc>
        <w:tc>
          <w:tcPr>
            <w:tcW w:w="4236" w:type="dxa"/>
            <w:vAlign w:val="center"/>
          </w:tcPr>
          <w:p w14:paraId="043F00BE">
            <w:pPr>
              <w:adjustRightInd w:val="0"/>
              <w:snapToGrid w:val="0"/>
              <w:spacing w:line="300" w:lineRule="auto"/>
              <w:ind w:firstLine="482"/>
              <w:jc w:val="left"/>
              <w:rPr>
                <w:rFonts w:ascii="Arial" w:hAnsi="Arial" w:cs="Arial"/>
                <w:color w:val="auto"/>
                <w:highlight w:val="none"/>
              </w:rPr>
            </w:pPr>
            <w:r>
              <w:rPr>
                <w:rFonts w:ascii="Arial" w:hAnsi="Arial" w:cs="Arial"/>
                <w:b/>
                <w:bCs/>
                <w:color w:val="auto"/>
                <w:kern w:val="0"/>
                <w:highlight w:val="none"/>
              </w:rPr>
              <w:t>基本资格要求：</w:t>
            </w:r>
          </w:p>
        </w:tc>
        <w:tc>
          <w:tcPr>
            <w:tcW w:w="4265" w:type="dxa"/>
            <w:vAlign w:val="center"/>
          </w:tcPr>
          <w:p w14:paraId="0019EE8F">
            <w:pPr>
              <w:adjustRightInd w:val="0"/>
              <w:snapToGrid w:val="0"/>
              <w:spacing w:line="300" w:lineRule="auto"/>
              <w:ind w:firstLine="480"/>
              <w:jc w:val="left"/>
              <w:rPr>
                <w:rFonts w:ascii="Arial" w:hAnsi="Arial" w:cs="Arial"/>
                <w:color w:val="auto"/>
                <w:highlight w:val="none"/>
              </w:rPr>
            </w:pPr>
          </w:p>
        </w:tc>
      </w:tr>
      <w:tr w14:paraId="01191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5C08B93B">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36" w:type="dxa"/>
            <w:vAlign w:val="center"/>
          </w:tcPr>
          <w:p w14:paraId="471CA452">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具有独立承担民事责任的能力；</w:t>
            </w:r>
          </w:p>
        </w:tc>
        <w:tc>
          <w:tcPr>
            <w:tcW w:w="4265" w:type="dxa"/>
            <w:vAlign w:val="center"/>
          </w:tcPr>
          <w:p w14:paraId="3C9BE38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1）营业执照（或事业法人登记证或其他工商等登记证明材料）复印件</w:t>
            </w:r>
          </w:p>
        </w:tc>
      </w:tr>
      <w:tr w14:paraId="2EFCB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3B6812E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36" w:type="dxa"/>
            <w:vAlign w:val="center"/>
          </w:tcPr>
          <w:p w14:paraId="7DF94A14">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具有良好的商业信誉和健全的财务会计制度；</w:t>
            </w:r>
          </w:p>
        </w:tc>
        <w:tc>
          <w:tcPr>
            <w:tcW w:w="4265" w:type="dxa"/>
            <w:vAlign w:val="center"/>
          </w:tcPr>
          <w:p w14:paraId="25E535E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2）具有良好商业信誉和健全的财务会计制度的声明函；【声明函1】</w:t>
            </w:r>
          </w:p>
        </w:tc>
      </w:tr>
      <w:tr w14:paraId="53E84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531F210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36" w:type="dxa"/>
            <w:vAlign w:val="center"/>
          </w:tcPr>
          <w:p w14:paraId="77119ED2">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具有履行合同所必需的设备和专业技术能力；</w:t>
            </w:r>
          </w:p>
        </w:tc>
        <w:tc>
          <w:tcPr>
            <w:tcW w:w="4265" w:type="dxa"/>
            <w:vAlign w:val="center"/>
          </w:tcPr>
          <w:p w14:paraId="46349775">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3）具有履行合同所必需的设备和专业技术能力的声明函；【声明函2】</w:t>
            </w:r>
          </w:p>
        </w:tc>
      </w:tr>
      <w:tr w14:paraId="5DE1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15071D57">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236" w:type="dxa"/>
            <w:vAlign w:val="center"/>
          </w:tcPr>
          <w:p w14:paraId="60404996">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具有依法缴纳税收和社会保障资金的良好记录；</w:t>
            </w:r>
          </w:p>
        </w:tc>
        <w:tc>
          <w:tcPr>
            <w:tcW w:w="4265" w:type="dxa"/>
            <w:vAlign w:val="center"/>
          </w:tcPr>
          <w:p w14:paraId="68344EA9">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4）依法缴纳税收和社会保障资金良好记录的声明函【声明函3】</w:t>
            </w:r>
          </w:p>
        </w:tc>
      </w:tr>
      <w:tr w14:paraId="0813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0B6180DF">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4236" w:type="dxa"/>
            <w:vAlign w:val="center"/>
          </w:tcPr>
          <w:p w14:paraId="6A3AED23">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参加政府采购活动前三年内，在经营活动中没有重大违法记录；</w:t>
            </w:r>
          </w:p>
        </w:tc>
        <w:tc>
          <w:tcPr>
            <w:tcW w:w="4265" w:type="dxa"/>
            <w:vAlign w:val="center"/>
          </w:tcPr>
          <w:p w14:paraId="65C3196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5）没有重大违法记录的声明函；【声明函4】</w:t>
            </w:r>
          </w:p>
        </w:tc>
      </w:tr>
      <w:tr w14:paraId="1FDC9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878" w:type="dxa"/>
            <w:vAlign w:val="center"/>
          </w:tcPr>
          <w:p w14:paraId="19B7EB5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4236" w:type="dxa"/>
            <w:vAlign w:val="center"/>
          </w:tcPr>
          <w:p w14:paraId="379754F1">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未被“信用中国”（www.creditchina.gov.cn）、中国政府采购网（www.ccgp.gov.cn）列入失信被执行人、重大税收违法案件当事人名单、政府采购严重违法失信行为记录名单。</w:t>
            </w:r>
          </w:p>
        </w:tc>
        <w:tc>
          <w:tcPr>
            <w:tcW w:w="4265" w:type="dxa"/>
            <w:vAlign w:val="center"/>
          </w:tcPr>
          <w:p w14:paraId="5A0F19B1">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6）无违法失信的声明函。【声明函5】</w:t>
            </w:r>
          </w:p>
        </w:tc>
      </w:tr>
      <w:tr w14:paraId="7C3B5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0968D96C">
            <w:pPr>
              <w:adjustRightInd w:val="0"/>
              <w:snapToGrid w:val="0"/>
              <w:spacing w:line="300" w:lineRule="auto"/>
              <w:ind w:firstLine="0" w:firstLineChars="0"/>
              <w:jc w:val="center"/>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2</w:t>
            </w:r>
            <w:r>
              <w:rPr>
                <w:rFonts w:ascii="Arial" w:hAnsi="Arial" w:cs="Arial"/>
                <w:b/>
                <w:bCs/>
                <w:color w:val="auto"/>
                <w:kern w:val="0"/>
                <w:sz w:val="21"/>
                <w:szCs w:val="21"/>
                <w:highlight w:val="none"/>
              </w:rPr>
              <w:t>.</w:t>
            </w:r>
          </w:p>
        </w:tc>
        <w:tc>
          <w:tcPr>
            <w:tcW w:w="4236" w:type="dxa"/>
            <w:vAlign w:val="center"/>
          </w:tcPr>
          <w:p w14:paraId="6BB553C0">
            <w:pPr>
              <w:adjustRightInd w:val="0"/>
              <w:snapToGrid w:val="0"/>
              <w:spacing w:line="300" w:lineRule="auto"/>
              <w:ind w:firstLine="482"/>
              <w:jc w:val="left"/>
              <w:rPr>
                <w:rFonts w:ascii="Arial" w:hAnsi="Arial" w:cs="Arial"/>
                <w:b/>
                <w:bCs/>
                <w:color w:val="auto"/>
                <w:kern w:val="0"/>
                <w:sz w:val="21"/>
                <w:szCs w:val="21"/>
                <w:highlight w:val="none"/>
              </w:rPr>
            </w:pPr>
            <w:r>
              <w:rPr>
                <w:rFonts w:hint="eastAsia" w:ascii="Arial" w:hAnsi="Arial" w:cs="Arial"/>
                <w:b/>
                <w:bCs/>
                <w:color w:val="auto"/>
                <w:kern w:val="0"/>
                <w:sz w:val="21"/>
                <w:szCs w:val="21"/>
                <w:highlight w:val="none"/>
              </w:rPr>
              <w:t>特定资格要求：</w:t>
            </w:r>
          </w:p>
        </w:tc>
        <w:tc>
          <w:tcPr>
            <w:tcW w:w="4265" w:type="dxa"/>
            <w:vAlign w:val="center"/>
          </w:tcPr>
          <w:p w14:paraId="59B38FF2">
            <w:pPr>
              <w:adjustRightInd w:val="0"/>
              <w:snapToGrid w:val="0"/>
              <w:spacing w:line="300" w:lineRule="auto"/>
              <w:ind w:firstLine="0" w:firstLineChars="0"/>
              <w:jc w:val="center"/>
              <w:rPr>
                <w:rFonts w:ascii="宋体" w:hAnsi="宋体" w:eastAsia="宋体" w:cs="宋体"/>
                <w:color w:val="auto"/>
                <w:sz w:val="21"/>
                <w:szCs w:val="21"/>
                <w:highlight w:val="none"/>
              </w:rPr>
            </w:pPr>
          </w:p>
        </w:tc>
      </w:tr>
      <w:tr w14:paraId="2689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78" w:type="dxa"/>
            <w:vAlign w:val="center"/>
          </w:tcPr>
          <w:p w14:paraId="3CC6D5A4">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36" w:type="dxa"/>
            <w:vAlign w:val="center"/>
          </w:tcPr>
          <w:p w14:paraId="160CA19D">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单位负责人为同一人或者存在直接控股、管理关系的不同供应商，不得同时参加本项目投标；</w:t>
            </w:r>
          </w:p>
        </w:tc>
        <w:tc>
          <w:tcPr>
            <w:tcW w:w="4265" w:type="dxa"/>
            <w:vAlign w:val="center"/>
          </w:tcPr>
          <w:p w14:paraId="4276164D">
            <w:pPr>
              <w:adjustRightInd w:val="0"/>
              <w:snapToGrid w:val="0"/>
              <w:spacing w:line="300" w:lineRule="auto"/>
              <w:ind w:firstLine="0" w:firstLineChars="0"/>
              <w:rPr>
                <w:color w:val="auto"/>
                <w:sz w:val="21"/>
                <w:szCs w:val="21"/>
                <w:highlight w:val="none"/>
              </w:rPr>
            </w:pPr>
            <w:r>
              <w:rPr>
                <w:rFonts w:hint="eastAsia" w:ascii="宋体" w:hAnsi="宋体" w:eastAsia="宋体" w:cs="宋体"/>
                <w:color w:val="auto"/>
                <w:sz w:val="21"/>
                <w:szCs w:val="21"/>
                <w:highlight w:val="none"/>
              </w:rPr>
              <w:t>7）与其他供应商无利害关系的声明函。【声明函6】</w:t>
            </w:r>
            <w:r>
              <w:rPr>
                <w:rFonts w:hint="eastAsia"/>
                <w:color w:val="auto"/>
                <w:sz w:val="21"/>
                <w:szCs w:val="21"/>
                <w:highlight w:val="none"/>
              </w:rPr>
              <w:tab/>
            </w:r>
          </w:p>
        </w:tc>
      </w:tr>
      <w:tr w14:paraId="30AFD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878" w:type="dxa"/>
            <w:vAlign w:val="center"/>
          </w:tcPr>
          <w:p w14:paraId="669AA293">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4236" w:type="dxa"/>
            <w:vAlign w:val="center"/>
          </w:tcPr>
          <w:p w14:paraId="02FAC3E7">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不是公益一类事业单位、使用事业编制且由财政拨款保障的群团组织。</w:t>
            </w:r>
          </w:p>
        </w:tc>
        <w:tc>
          <w:tcPr>
            <w:tcW w:w="4265" w:type="dxa"/>
            <w:vAlign w:val="center"/>
          </w:tcPr>
          <w:p w14:paraId="34783154">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8）单位组织形式声明函。【声明函7】</w:t>
            </w:r>
          </w:p>
        </w:tc>
      </w:tr>
      <w:tr w14:paraId="1DAC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61E61320">
            <w:pPr>
              <w:adjustRightInd w:val="0"/>
              <w:snapToGrid w:val="0"/>
              <w:spacing w:line="300" w:lineRule="auto"/>
              <w:ind w:firstLine="0" w:firstLineChars="0"/>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4236" w:type="dxa"/>
            <w:vAlign w:val="center"/>
          </w:tcPr>
          <w:p w14:paraId="44BB685F">
            <w:pPr>
              <w:adjustRightInd w:val="0"/>
              <w:snapToGrid w:val="0"/>
              <w:spacing w:line="300" w:lineRule="auto"/>
              <w:ind w:firstLine="0" w:firstLineChars="0"/>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非联合体。</w:t>
            </w:r>
          </w:p>
        </w:tc>
        <w:tc>
          <w:tcPr>
            <w:tcW w:w="4265" w:type="dxa"/>
            <w:vAlign w:val="center"/>
          </w:tcPr>
          <w:p w14:paraId="3245ED83">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9）非联合体的声明函。【声明函8】</w:t>
            </w:r>
          </w:p>
        </w:tc>
      </w:tr>
      <w:tr w14:paraId="1FD59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78" w:type="dxa"/>
            <w:vAlign w:val="center"/>
          </w:tcPr>
          <w:p w14:paraId="378DFCAE">
            <w:pPr>
              <w:adjustRightInd w:val="0"/>
              <w:snapToGrid w:val="0"/>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p>
        </w:tc>
        <w:tc>
          <w:tcPr>
            <w:tcW w:w="4236" w:type="dxa"/>
            <w:vAlign w:val="center"/>
          </w:tcPr>
          <w:p w14:paraId="70DFB0B0">
            <w:pPr>
              <w:adjustRightInd w:val="0"/>
              <w:snapToGrid w:val="0"/>
              <w:spacing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具有有效的劳务派遣经营许可证</w:t>
            </w:r>
          </w:p>
        </w:tc>
        <w:tc>
          <w:tcPr>
            <w:tcW w:w="4265" w:type="dxa"/>
            <w:vAlign w:val="center"/>
          </w:tcPr>
          <w:p w14:paraId="46989FC8">
            <w:pPr>
              <w:adjustRightInd w:val="0"/>
              <w:snapToGrid w:val="0"/>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10）提供有效的劳务派遣经营许可证复制件</w:t>
            </w:r>
          </w:p>
        </w:tc>
      </w:tr>
      <w:tr w14:paraId="1E06A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379" w:type="dxa"/>
            <w:gridSpan w:val="3"/>
            <w:vAlign w:val="center"/>
          </w:tcPr>
          <w:p w14:paraId="40CCE0A9">
            <w:pPr>
              <w:adjustRightInd w:val="0"/>
              <w:snapToGrid w:val="0"/>
              <w:spacing w:line="300" w:lineRule="auto"/>
              <w:ind w:firstLine="0" w:firstLineChars="0"/>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证明材料需加盖投标人单位公章，各声明函格式附后</w:t>
            </w:r>
          </w:p>
        </w:tc>
      </w:tr>
    </w:tbl>
    <w:p w14:paraId="2C28AE17">
      <w:pPr>
        <w:pStyle w:val="2"/>
        <w:tabs>
          <w:tab w:val="left" w:pos="720"/>
        </w:tabs>
        <w:ind w:firstLine="0" w:firstLineChars="0"/>
        <w:jc w:val="both"/>
        <w:rPr>
          <w:rFonts w:ascii="Arial" w:hAnsi="Arial" w:eastAsia="宋体" w:cs="Arial"/>
          <w:color w:val="auto"/>
          <w:sz w:val="28"/>
          <w:szCs w:val="28"/>
          <w:highlight w:val="none"/>
        </w:rPr>
      </w:pPr>
      <w:bookmarkStart w:id="299" w:name="_Toc16954"/>
      <w:bookmarkStart w:id="300" w:name="_Toc1258"/>
    </w:p>
    <w:p w14:paraId="4757C43F">
      <w:pPr>
        <w:rPr>
          <w:color w:val="auto"/>
          <w:highlight w:val="none"/>
        </w:rPr>
      </w:pPr>
    </w:p>
    <w:p w14:paraId="72C78340">
      <w:pPr>
        <w:pStyle w:val="2"/>
        <w:tabs>
          <w:tab w:val="left" w:pos="720"/>
        </w:tabs>
        <w:ind w:firstLine="562"/>
        <w:jc w:val="center"/>
        <w:rPr>
          <w:rFonts w:ascii="Arial" w:hAnsi="Arial" w:eastAsia="宋体" w:cs="Arial"/>
          <w:color w:val="auto"/>
          <w:sz w:val="28"/>
          <w:szCs w:val="28"/>
          <w:highlight w:val="none"/>
        </w:rPr>
      </w:pPr>
      <w:r>
        <w:rPr>
          <w:rFonts w:hint="eastAsia" w:ascii="Arial" w:hAnsi="Arial" w:eastAsia="宋体" w:cs="Arial"/>
          <w:color w:val="auto"/>
          <w:sz w:val="28"/>
          <w:szCs w:val="28"/>
          <w:highlight w:val="none"/>
        </w:rPr>
        <w:t>【声明函1】具有良好商业信誉的声明函</w:t>
      </w:r>
      <w:bookmarkEnd w:id="299"/>
    </w:p>
    <w:p w14:paraId="5738BC3B">
      <w:pPr>
        <w:snapToGrid w:val="0"/>
        <w:spacing w:line="300" w:lineRule="auto"/>
        <w:ind w:firstLine="562"/>
        <w:jc w:val="center"/>
        <w:rPr>
          <w:rFonts w:ascii="Arial" w:hAnsi="Arial" w:cs="Arial"/>
          <w:b/>
          <w:color w:val="auto"/>
          <w:kern w:val="0"/>
          <w:sz w:val="28"/>
          <w:szCs w:val="28"/>
          <w:highlight w:val="none"/>
        </w:rPr>
      </w:pPr>
    </w:p>
    <w:p w14:paraId="736EDEDE">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具有良好商业信誉和健全的财务会计制度的声明函</w:t>
      </w:r>
    </w:p>
    <w:p w14:paraId="4BA5D18A">
      <w:pPr>
        <w:pStyle w:val="19"/>
        <w:adjustRightInd w:val="0"/>
        <w:snapToGrid w:val="0"/>
        <w:spacing w:line="300" w:lineRule="auto"/>
        <w:ind w:firstLine="420"/>
        <w:rPr>
          <w:rFonts w:ascii="Arial" w:hAnsi="Arial" w:cs="Arial"/>
          <w:color w:val="auto"/>
          <w:highlight w:val="none"/>
          <w:u w:val="single"/>
        </w:rPr>
      </w:pPr>
    </w:p>
    <w:p w14:paraId="3CA402E7">
      <w:pPr>
        <w:pStyle w:val="19"/>
        <w:adjustRightInd w:val="0"/>
        <w:snapToGrid w:val="0"/>
        <w:spacing w:line="480" w:lineRule="auto"/>
        <w:ind w:firstLine="420"/>
        <w:rPr>
          <w:rFonts w:ascii="Arial" w:hAnsi="Arial" w:cs="Arial"/>
          <w:color w:val="auto"/>
          <w:kern w:val="0"/>
          <w:highlight w:val="none"/>
        </w:rPr>
      </w:pPr>
      <w:r>
        <w:rPr>
          <w:rFonts w:hint="eastAsia" w:ascii="Arial" w:hAnsi="Arial" w:cs="Arial"/>
          <w:color w:val="auto"/>
          <w:kern w:val="0"/>
          <w:highlight w:val="none"/>
          <w:u w:val="single"/>
          <w:lang w:eastAsia="zh-CN"/>
        </w:rPr>
        <w:t>龙游华水水业发展有限公司</w:t>
      </w:r>
      <w:r>
        <w:rPr>
          <w:rFonts w:hint="eastAsia" w:ascii="Arial" w:hAnsi="Arial" w:cs="Arial"/>
          <w:color w:val="auto"/>
          <w:kern w:val="0"/>
          <w:highlight w:val="none"/>
        </w:rPr>
        <w:t>：</w:t>
      </w:r>
    </w:p>
    <w:p w14:paraId="78EFDA11">
      <w:pPr>
        <w:snapToGrid w:val="0"/>
        <w:spacing w:line="480" w:lineRule="auto"/>
        <w:ind w:firstLine="420"/>
        <w:rPr>
          <w:rFonts w:ascii="Arial" w:hAnsi="Arial" w:eastAsia="宋体" w:cs="Arial"/>
          <w:color w:val="auto"/>
          <w:kern w:val="0"/>
          <w:sz w:val="21"/>
          <w:szCs w:val="21"/>
          <w:highlight w:val="none"/>
          <w:u w:val="single"/>
        </w:rPr>
      </w:pPr>
      <w:r>
        <w:rPr>
          <w:rFonts w:hint="eastAsia" w:ascii="Arial" w:hAnsi="Arial" w:eastAsia="宋体" w:cs="Arial"/>
          <w:color w:val="auto"/>
          <w:kern w:val="0"/>
          <w:sz w:val="21"/>
          <w:szCs w:val="21"/>
          <w:highlight w:val="none"/>
          <w:u w:val="single"/>
        </w:rPr>
        <w:t>泰宇建筑工程技术咨询有限公司：</w:t>
      </w:r>
    </w:p>
    <w:p w14:paraId="29788C3A">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截至</w:t>
      </w:r>
      <w:r>
        <w:rPr>
          <w:rFonts w:hint="eastAsia" w:ascii="Arial" w:hAnsi="Arial" w:eastAsia="宋体" w:cs="Arial"/>
          <w:color w:val="auto"/>
          <w:kern w:val="0"/>
          <w:sz w:val="21"/>
          <w:szCs w:val="21"/>
          <w:highlight w:val="none"/>
          <w:u w:val="single"/>
          <w:lang w:eastAsia="zh-CN"/>
        </w:rPr>
        <w:t>龙游华水水业发展有限公司</w:t>
      </w:r>
      <w:r>
        <w:rPr>
          <w:rFonts w:hint="eastAsia" w:ascii="Arial" w:hAnsi="Arial" w:eastAsia="宋体" w:cs="Arial"/>
          <w:color w:val="auto"/>
          <w:kern w:val="0"/>
          <w:sz w:val="21"/>
          <w:szCs w:val="21"/>
          <w:highlight w:val="none"/>
        </w:rPr>
        <w:t>（采购人）</w:t>
      </w:r>
      <w:r>
        <w:rPr>
          <w:rFonts w:hint="eastAsia" w:ascii="Arial" w:hAnsi="Arial" w:eastAsia="宋体" w:cs="Arial"/>
          <w:color w:val="auto"/>
          <w:kern w:val="0"/>
          <w:sz w:val="21"/>
          <w:szCs w:val="21"/>
          <w:highlight w:val="none"/>
          <w:u w:val="single"/>
          <w:lang w:eastAsia="zh-CN"/>
        </w:rPr>
        <w:t>2025年龙游华水水业发展有限公司劳务承包采购项目（重招）</w:t>
      </w:r>
      <w:r>
        <w:rPr>
          <w:rFonts w:hint="eastAsia" w:ascii="Arial" w:hAnsi="Arial" w:eastAsia="宋体" w:cs="Arial"/>
          <w:color w:val="auto"/>
          <w:kern w:val="0"/>
          <w:sz w:val="21"/>
          <w:szCs w:val="21"/>
          <w:highlight w:val="none"/>
        </w:rPr>
        <w:t xml:space="preserve"> （项目名称）</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u w:val="single"/>
          <w:lang w:eastAsia="zh-CN"/>
        </w:rPr>
        <w:t xml:space="preserve">LYCG2025TY-045 </w:t>
      </w:r>
      <w:r>
        <w:rPr>
          <w:rFonts w:hint="eastAsia" w:ascii="Arial" w:hAnsi="Arial" w:eastAsia="宋体" w:cs="Arial"/>
          <w:color w:val="auto"/>
          <w:kern w:val="0"/>
          <w:sz w:val="21"/>
          <w:szCs w:val="21"/>
          <w:highlight w:val="none"/>
        </w:rPr>
        <w:t>（项目编号）的投标截止时间，我方具有良好的商业信誉和健全的财务会计制度。</w:t>
      </w:r>
    </w:p>
    <w:p w14:paraId="3165C64D">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我方对上述声明的真实性负责。如有虚假，愿意承担相应责任，对此无任何异议。</w:t>
      </w:r>
    </w:p>
    <w:p w14:paraId="7C23EFB2">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特此声明！</w:t>
      </w:r>
    </w:p>
    <w:p w14:paraId="0D32B447">
      <w:pPr>
        <w:spacing w:line="480" w:lineRule="auto"/>
        <w:ind w:firstLine="420"/>
        <w:rPr>
          <w:rFonts w:ascii="Arial" w:hAnsi="Arial" w:eastAsia="宋体" w:cs="Arial"/>
          <w:color w:val="auto"/>
          <w:kern w:val="0"/>
          <w:sz w:val="21"/>
          <w:szCs w:val="21"/>
          <w:highlight w:val="none"/>
        </w:rPr>
      </w:pPr>
    </w:p>
    <w:p w14:paraId="720A148C">
      <w:pPr>
        <w:adjustRightInd w:val="0"/>
        <w:snapToGrid w:val="0"/>
        <w:spacing w:line="480" w:lineRule="auto"/>
        <w:ind w:firstLine="48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投标人全称：（盖单位公章）</w:t>
      </w:r>
    </w:p>
    <w:p w14:paraId="35108EE5">
      <w:pPr>
        <w:snapToGrid w:val="0"/>
        <w:spacing w:line="480" w:lineRule="auto"/>
        <w:ind w:firstLine="420"/>
        <w:rPr>
          <w:rFonts w:ascii="Arial" w:hAnsi="Arial" w:eastAsia="宋体" w:cs="Arial"/>
          <w:color w:val="auto"/>
          <w:sz w:val="28"/>
          <w:szCs w:val="28"/>
          <w:highlight w:val="none"/>
        </w:rPr>
      </w:pPr>
      <w:r>
        <w:rPr>
          <w:rFonts w:hint="eastAsia" w:ascii="Arial" w:hAnsi="Arial" w:eastAsia="宋体" w:cs="Arial"/>
          <w:color w:val="auto"/>
          <w:kern w:val="0"/>
          <w:sz w:val="21"/>
          <w:szCs w:val="21"/>
          <w:highlight w:val="none"/>
        </w:rPr>
        <w:t>日期：202</w:t>
      </w:r>
      <w:r>
        <w:rPr>
          <w:rFonts w:hint="eastAsia" w:ascii="Arial" w:hAnsi="Arial" w:eastAsia="宋体" w:cs="Arial"/>
          <w:color w:val="auto"/>
          <w:kern w:val="0"/>
          <w:sz w:val="21"/>
          <w:szCs w:val="21"/>
          <w:highlight w:val="none"/>
          <w:lang w:val="en-US" w:eastAsia="zh-CN"/>
        </w:rPr>
        <w:t>5</w:t>
      </w:r>
      <w:r>
        <w:rPr>
          <w:rFonts w:hint="eastAsia" w:ascii="Arial" w:hAnsi="Arial" w:eastAsia="宋体" w:cs="Arial"/>
          <w:color w:val="auto"/>
          <w:kern w:val="0"/>
          <w:sz w:val="21"/>
          <w:szCs w:val="21"/>
          <w:highlight w:val="none"/>
        </w:rPr>
        <w:t>年   月   日</w:t>
      </w:r>
    </w:p>
    <w:p w14:paraId="0C3A9DB9">
      <w:pPr>
        <w:pStyle w:val="2"/>
        <w:tabs>
          <w:tab w:val="left" w:pos="720"/>
        </w:tabs>
        <w:ind w:left="840" w:firstLine="422" w:firstLineChars="0"/>
        <w:rPr>
          <w:rFonts w:cs="Arial"/>
          <w:color w:val="auto"/>
          <w:sz w:val="28"/>
          <w:szCs w:val="28"/>
          <w:highlight w:val="none"/>
        </w:rPr>
      </w:pPr>
      <w:bookmarkStart w:id="301" w:name="_Toc2703"/>
      <w:r>
        <w:rPr>
          <w:rFonts w:hint="eastAsia" w:ascii="Arial" w:hAnsi="Arial" w:eastAsia="宋体" w:cs="Arial"/>
          <w:color w:val="auto"/>
          <w:kern w:val="2"/>
          <w:sz w:val="28"/>
          <w:szCs w:val="28"/>
          <w:highlight w:val="none"/>
        </w:rPr>
        <w:t>【声明函2】具有履行合同所必需的设备和专业技术能力的声明函</w:t>
      </w:r>
      <w:bookmarkEnd w:id="301"/>
    </w:p>
    <w:p w14:paraId="51C2DAD6">
      <w:pPr>
        <w:pStyle w:val="19"/>
        <w:adjustRightInd w:val="0"/>
        <w:snapToGrid w:val="0"/>
        <w:spacing w:line="300" w:lineRule="auto"/>
        <w:ind w:firstLine="562"/>
        <w:jc w:val="center"/>
        <w:rPr>
          <w:rFonts w:ascii="Arial" w:hAnsi="Arial" w:cs="Arial"/>
          <w:b/>
          <w:bCs/>
          <w:color w:val="auto"/>
          <w:sz w:val="28"/>
          <w:szCs w:val="28"/>
          <w:highlight w:val="none"/>
        </w:rPr>
      </w:pPr>
    </w:p>
    <w:p w14:paraId="5957BF2C">
      <w:pPr>
        <w:pStyle w:val="19"/>
        <w:adjustRightInd w:val="0"/>
        <w:snapToGrid w:val="0"/>
        <w:spacing w:line="300" w:lineRule="auto"/>
        <w:ind w:firstLine="562"/>
        <w:jc w:val="center"/>
        <w:rPr>
          <w:rFonts w:ascii="Arial" w:hAnsi="Arial" w:cs="Arial"/>
          <w:b/>
          <w:bCs/>
          <w:color w:val="auto"/>
          <w:sz w:val="28"/>
          <w:szCs w:val="28"/>
          <w:highlight w:val="none"/>
        </w:rPr>
      </w:pPr>
      <w:r>
        <w:rPr>
          <w:rFonts w:hint="eastAsia" w:ascii="Arial" w:hAnsi="Arial" w:cs="Arial"/>
          <w:b/>
          <w:bCs/>
          <w:color w:val="auto"/>
          <w:sz w:val="28"/>
          <w:szCs w:val="28"/>
          <w:highlight w:val="none"/>
        </w:rPr>
        <w:t>具有履行合同所必需的设备和专业技术能力的声明函</w:t>
      </w:r>
    </w:p>
    <w:p w14:paraId="376DD0D1">
      <w:pPr>
        <w:pStyle w:val="19"/>
        <w:adjustRightInd w:val="0"/>
        <w:snapToGrid w:val="0"/>
        <w:spacing w:line="300" w:lineRule="auto"/>
        <w:ind w:firstLine="420"/>
        <w:rPr>
          <w:rFonts w:ascii="Arial" w:hAnsi="Arial" w:cs="Arial"/>
          <w:color w:val="auto"/>
          <w:highlight w:val="none"/>
          <w:u w:val="single"/>
        </w:rPr>
      </w:pPr>
    </w:p>
    <w:p w14:paraId="35C2331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6818BD7D">
      <w:pPr>
        <w:pStyle w:val="19"/>
        <w:adjustRightInd w:val="0"/>
        <w:snapToGrid w:val="0"/>
        <w:spacing w:line="480" w:lineRule="auto"/>
        <w:ind w:firstLine="420"/>
        <w:rPr>
          <w:rFonts w:ascii="Arial" w:hAnsi="Arial" w:cs="Arial"/>
          <w:color w:val="auto"/>
          <w:highlight w:val="none"/>
          <w:u w:val="single"/>
        </w:rPr>
      </w:pPr>
      <w:r>
        <w:rPr>
          <w:rFonts w:hint="eastAsia" w:ascii="Arial" w:hAnsi="Arial" w:cs="Arial"/>
          <w:color w:val="auto"/>
          <w:highlight w:val="none"/>
          <w:u w:val="single"/>
        </w:rPr>
        <w:t>泰宇建筑工程技术咨询有限公司：</w:t>
      </w:r>
    </w:p>
    <w:p w14:paraId="500B8241">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我方郑重承诺，我方具有履行</w:t>
      </w:r>
      <w:r>
        <w:rPr>
          <w:rFonts w:hint="eastAsia" w:ascii="Arial" w:hAnsi="Arial" w:eastAsia="宋体" w:cs="Arial"/>
          <w:color w:val="auto"/>
          <w:kern w:val="0"/>
          <w:sz w:val="21"/>
          <w:szCs w:val="21"/>
          <w:highlight w:val="none"/>
          <w:u w:val="single"/>
          <w:lang w:eastAsia="zh-CN"/>
        </w:rPr>
        <w:t>龙游华水水业发展有限公司</w:t>
      </w:r>
      <w:r>
        <w:rPr>
          <w:rFonts w:hint="eastAsia" w:ascii="Arial" w:hAnsi="Arial" w:eastAsia="宋体" w:cs="Arial"/>
          <w:color w:val="auto"/>
          <w:kern w:val="0"/>
          <w:sz w:val="21"/>
          <w:szCs w:val="21"/>
          <w:highlight w:val="none"/>
        </w:rPr>
        <w:t>（采购人）</w:t>
      </w:r>
      <w:r>
        <w:rPr>
          <w:rFonts w:hint="eastAsia" w:ascii="Arial" w:hAnsi="Arial" w:eastAsia="宋体" w:cs="Arial"/>
          <w:color w:val="auto"/>
          <w:kern w:val="0"/>
          <w:sz w:val="21"/>
          <w:szCs w:val="21"/>
          <w:highlight w:val="none"/>
          <w:u w:val="single"/>
          <w:lang w:eastAsia="zh-CN"/>
        </w:rPr>
        <w:t>2025年龙游华水水业发展有限公司劳务承包采购项目（重招）</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rPr>
        <w:t>（项目名称）</w:t>
      </w:r>
      <w:r>
        <w:rPr>
          <w:rFonts w:hint="eastAsia" w:ascii="Arial" w:hAnsi="Arial" w:eastAsia="宋体" w:cs="Arial"/>
          <w:color w:val="auto"/>
          <w:kern w:val="0"/>
          <w:sz w:val="21"/>
          <w:szCs w:val="21"/>
          <w:highlight w:val="none"/>
          <w:u w:val="single"/>
        </w:rPr>
        <w:t xml:space="preserve"> </w:t>
      </w:r>
      <w:r>
        <w:rPr>
          <w:rFonts w:hint="eastAsia" w:ascii="Arial" w:hAnsi="Arial" w:eastAsia="宋体" w:cs="Arial"/>
          <w:color w:val="auto"/>
          <w:kern w:val="0"/>
          <w:sz w:val="21"/>
          <w:szCs w:val="21"/>
          <w:highlight w:val="none"/>
          <w:u w:val="single"/>
          <w:lang w:eastAsia="zh-CN"/>
        </w:rPr>
        <w:t xml:space="preserve">LYCG2025TY-045 </w:t>
      </w:r>
      <w:r>
        <w:rPr>
          <w:rFonts w:hint="eastAsia" w:ascii="Arial" w:hAnsi="Arial" w:eastAsia="宋体" w:cs="Arial"/>
          <w:color w:val="auto"/>
          <w:kern w:val="0"/>
          <w:sz w:val="21"/>
          <w:szCs w:val="21"/>
          <w:highlight w:val="none"/>
        </w:rPr>
        <w:t>（项目编号）合同所必需的设备和专业技术能力。如成交，我方将保证合同顺利履行。</w:t>
      </w:r>
    </w:p>
    <w:p w14:paraId="019035C4">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我方对上述声明的真实性负责。如有虚假，愿意承担相应责任，对此无任何异议。</w:t>
      </w:r>
    </w:p>
    <w:p w14:paraId="63ADBA99">
      <w:pPr>
        <w:snapToGrid w:val="0"/>
        <w:spacing w:line="480" w:lineRule="auto"/>
        <w:ind w:firstLine="42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特此声明！</w:t>
      </w:r>
    </w:p>
    <w:p w14:paraId="2D3411D0">
      <w:pPr>
        <w:snapToGrid w:val="0"/>
        <w:spacing w:line="480" w:lineRule="auto"/>
        <w:ind w:firstLine="480"/>
        <w:rPr>
          <w:rFonts w:ascii="Arial" w:hAnsi="Arial" w:eastAsia="宋体" w:cs="Arial"/>
          <w:color w:val="auto"/>
          <w:kern w:val="0"/>
          <w:sz w:val="21"/>
          <w:szCs w:val="21"/>
          <w:highlight w:val="none"/>
        </w:rPr>
      </w:pPr>
      <w:r>
        <w:rPr>
          <w:rFonts w:hint="eastAsia" w:ascii="Arial" w:hAnsi="Arial" w:eastAsia="宋体" w:cs="Arial"/>
          <w:color w:val="auto"/>
          <w:kern w:val="0"/>
          <w:sz w:val="21"/>
          <w:szCs w:val="21"/>
          <w:highlight w:val="none"/>
        </w:rPr>
        <w:t>投标人全称：（盖单位公章）</w:t>
      </w:r>
    </w:p>
    <w:p w14:paraId="41664036">
      <w:pPr>
        <w:snapToGrid w:val="0"/>
        <w:spacing w:line="480" w:lineRule="auto"/>
        <w:ind w:firstLine="420"/>
        <w:rPr>
          <w:color w:val="auto"/>
          <w:highlight w:val="none"/>
        </w:rPr>
      </w:pPr>
      <w:r>
        <w:rPr>
          <w:rFonts w:hint="eastAsia" w:ascii="Arial" w:hAnsi="Arial" w:eastAsia="宋体" w:cs="Arial"/>
          <w:color w:val="auto"/>
          <w:kern w:val="0"/>
          <w:sz w:val="21"/>
          <w:szCs w:val="21"/>
          <w:highlight w:val="none"/>
        </w:rPr>
        <w:t>日期：202</w:t>
      </w:r>
      <w:r>
        <w:rPr>
          <w:rFonts w:hint="eastAsia" w:ascii="Arial" w:hAnsi="Arial" w:eastAsia="宋体" w:cs="Arial"/>
          <w:color w:val="auto"/>
          <w:kern w:val="0"/>
          <w:sz w:val="21"/>
          <w:szCs w:val="21"/>
          <w:highlight w:val="none"/>
          <w:lang w:val="en-US" w:eastAsia="zh-CN"/>
        </w:rPr>
        <w:t>5</w:t>
      </w:r>
      <w:r>
        <w:rPr>
          <w:rFonts w:hint="eastAsia" w:ascii="Arial" w:hAnsi="Arial" w:eastAsia="宋体" w:cs="Arial"/>
          <w:color w:val="auto"/>
          <w:kern w:val="0"/>
          <w:sz w:val="21"/>
          <w:szCs w:val="21"/>
          <w:highlight w:val="none"/>
        </w:rPr>
        <w:t>年</w:t>
      </w:r>
      <w:r>
        <w:rPr>
          <w:rFonts w:hint="eastAsia" w:ascii="Arial" w:hAnsi="Arial" w:eastAsia="宋体" w:cs="Arial"/>
          <w:color w:val="auto"/>
          <w:kern w:val="0"/>
          <w:sz w:val="21"/>
          <w:szCs w:val="21"/>
          <w:highlight w:val="none"/>
          <w:lang w:val="en-US" w:eastAsia="zh-CN"/>
        </w:rPr>
        <w:t xml:space="preserve"> </w:t>
      </w:r>
      <w:r>
        <w:rPr>
          <w:rFonts w:hint="eastAsia" w:ascii="Arial" w:hAnsi="Arial" w:eastAsia="宋体" w:cs="Arial"/>
          <w:color w:val="auto"/>
          <w:kern w:val="0"/>
          <w:sz w:val="21"/>
          <w:szCs w:val="21"/>
          <w:highlight w:val="none"/>
        </w:rPr>
        <w:t>月</w:t>
      </w:r>
      <w:r>
        <w:rPr>
          <w:rFonts w:hint="eastAsia" w:ascii="Arial" w:hAnsi="Arial" w:eastAsia="宋体" w:cs="Arial"/>
          <w:color w:val="auto"/>
          <w:kern w:val="0"/>
          <w:sz w:val="21"/>
          <w:szCs w:val="21"/>
          <w:highlight w:val="none"/>
          <w:lang w:val="en-US" w:eastAsia="zh-CN"/>
        </w:rPr>
        <w:t xml:space="preserve"> </w:t>
      </w:r>
      <w:r>
        <w:rPr>
          <w:rFonts w:hint="eastAsia" w:ascii="Arial" w:hAnsi="Arial" w:eastAsia="宋体" w:cs="Arial"/>
          <w:color w:val="auto"/>
          <w:kern w:val="0"/>
          <w:sz w:val="21"/>
          <w:szCs w:val="21"/>
          <w:highlight w:val="none"/>
        </w:rPr>
        <w:t>日</w:t>
      </w:r>
    </w:p>
    <w:p w14:paraId="7648CC04">
      <w:pPr>
        <w:rPr>
          <w:rFonts w:hint="eastAsia" w:ascii="Times New Roman" w:hAnsi="Times New Roman" w:cs="Arial"/>
          <w:color w:val="auto"/>
          <w:sz w:val="28"/>
          <w:szCs w:val="28"/>
          <w:highlight w:val="none"/>
        </w:rPr>
      </w:pPr>
      <w:bookmarkStart w:id="302" w:name="_Toc12866"/>
      <w:r>
        <w:rPr>
          <w:rFonts w:hint="eastAsia" w:ascii="Times New Roman" w:hAnsi="Times New Roman" w:cs="Arial"/>
          <w:color w:val="auto"/>
          <w:sz w:val="28"/>
          <w:szCs w:val="28"/>
          <w:highlight w:val="none"/>
        </w:rPr>
        <w:br w:type="page"/>
      </w:r>
    </w:p>
    <w:p w14:paraId="0D8DAC02">
      <w:pPr>
        <w:pStyle w:val="2"/>
        <w:tabs>
          <w:tab w:val="left" w:pos="720"/>
        </w:tabs>
        <w:ind w:left="840" w:firstLine="422" w:firstLineChars="0"/>
        <w:rPr>
          <w:rFonts w:ascii="Times New Roman" w:hAnsi="Times New Roman" w:cs="Arial"/>
          <w:color w:val="auto"/>
          <w:sz w:val="28"/>
          <w:szCs w:val="28"/>
          <w:highlight w:val="none"/>
        </w:rPr>
      </w:pPr>
      <w:r>
        <w:rPr>
          <w:rFonts w:hint="eastAsia" w:ascii="Times New Roman" w:hAnsi="Times New Roman" w:cs="Arial"/>
          <w:color w:val="auto"/>
          <w:sz w:val="28"/>
          <w:szCs w:val="28"/>
          <w:highlight w:val="none"/>
        </w:rPr>
        <w:t>【声明函3】依法缴纳税收和社会保障资金良好记录的声明函</w:t>
      </w:r>
      <w:bookmarkEnd w:id="302"/>
    </w:p>
    <w:p w14:paraId="6BD7B1BA">
      <w:pPr>
        <w:snapToGrid w:val="0"/>
        <w:spacing w:line="300" w:lineRule="auto"/>
        <w:ind w:firstLine="562"/>
        <w:jc w:val="center"/>
        <w:rPr>
          <w:rFonts w:ascii="Arial" w:hAnsi="Arial" w:cs="Arial"/>
          <w:b/>
          <w:color w:val="auto"/>
          <w:kern w:val="0"/>
          <w:sz w:val="28"/>
          <w:szCs w:val="28"/>
          <w:highlight w:val="none"/>
        </w:rPr>
      </w:pPr>
    </w:p>
    <w:p w14:paraId="627FB7F4">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依法缴纳税收和社会保障资金良好记录的声明函</w:t>
      </w:r>
    </w:p>
    <w:p w14:paraId="5D4ACCF0">
      <w:pPr>
        <w:pStyle w:val="19"/>
        <w:adjustRightInd w:val="0"/>
        <w:snapToGrid w:val="0"/>
        <w:spacing w:line="300" w:lineRule="auto"/>
        <w:ind w:firstLine="420"/>
        <w:rPr>
          <w:rFonts w:ascii="Arial" w:hAnsi="Arial" w:cs="Arial"/>
          <w:color w:val="auto"/>
          <w:highlight w:val="none"/>
          <w:u w:val="single"/>
        </w:rPr>
      </w:pPr>
    </w:p>
    <w:p w14:paraId="6E1C311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3E1A1A16">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泰宇建筑工程技术咨询有限公司</w:t>
      </w:r>
      <w:r>
        <w:rPr>
          <w:rFonts w:hint="eastAsia" w:asciiTheme="minorEastAsia" w:hAnsiTheme="minorEastAsia" w:eastAsiaTheme="minorEastAsia" w:cstheme="minorEastAsia"/>
          <w:color w:val="auto"/>
          <w:sz w:val="21"/>
          <w:szCs w:val="21"/>
          <w:highlight w:val="none"/>
        </w:rPr>
        <w:t>：</w:t>
      </w:r>
    </w:p>
    <w:p w14:paraId="2B4D6052">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截至</w:t>
      </w:r>
      <w:r>
        <w:rPr>
          <w:rFonts w:hint="eastAsia" w:asciiTheme="minorEastAsia" w:hAnsiTheme="minorEastAsia" w:eastAsiaTheme="minorEastAsia" w:cstheme="minorEastAsia"/>
          <w:color w:val="auto"/>
          <w:sz w:val="21"/>
          <w:szCs w:val="21"/>
          <w:highlight w:val="none"/>
          <w:u w:val="single"/>
          <w:lang w:eastAsia="zh-CN"/>
        </w:rPr>
        <w:t>龙游华水水业发展有限公司</w:t>
      </w:r>
      <w:r>
        <w:rPr>
          <w:rFonts w:hint="eastAsia" w:asciiTheme="minorEastAsia" w:hAnsiTheme="minorEastAsia" w:eastAsiaTheme="minorEastAsia" w:cstheme="minorEastAsia"/>
          <w:color w:val="auto"/>
          <w:sz w:val="21"/>
          <w:szCs w:val="21"/>
          <w:highlight w:val="none"/>
        </w:rPr>
        <w:t>（采购人）</w:t>
      </w:r>
      <w:r>
        <w:rPr>
          <w:rFonts w:hint="eastAsia" w:asciiTheme="minorEastAsia" w:hAnsiTheme="minorEastAsia" w:eastAsiaTheme="minorEastAsia" w:cstheme="minorEastAsia"/>
          <w:color w:val="auto"/>
          <w:sz w:val="21"/>
          <w:szCs w:val="21"/>
          <w:highlight w:val="none"/>
          <w:u w:val="single"/>
          <w:lang w:eastAsia="zh-CN"/>
        </w:rPr>
        <w:t>2025年龙游华水水业发展有限公司劳务承包采购项目（重招）</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（项目名称）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u w:val="single"/>
          <w:lang w:eastAsia="zh-CN"/>
        </w:rPr>
        <w:t xml:space="preserve">LYCG2025TY-045 </w:t>
      </w:r>
      <w:r>
        <w:rPr>
          <w:rFonts w:hint="eastAsia" w:asciiTheme="minorEastAsia" w:hAnsiTheme="minorEastAsia" w:eastAsiaTheme="minorEastAsia" w:cstheme="minorEastAsia"/>
          <w:color w:val="auto"/>
          <w:sz w:val="21"/>
          <w:szCs w:val="21"/>
          <w:highlight w:val="none"/>
        </w:rPr>
        <w:t>（项目编号）的投标截止时间，我方有依法缴纳税收和社会保障资金的良好记录。</w:t>
      </w:r>
    </w:p>
    <w:p w14:paraId="613980EA">
      <w:pPr>
        <w:snapToGrid w:val="0"/>
        <w:spacing w:line="480" w:lineRule="auto"/>
        <w:ind w:firstLine="420"/>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我方对上述声明的真实性负责。如有虚假，愿意承担相应责任，对此无任何异议。</w:t>
      </w:r>
    </w:p>
    <w:p w14:paraId="36196878">
      <w:pPr>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特此声明！</w:t>
      </w:r>
    </w:p>
    <w:p w14:paraId="00106BAC">
      <w:pPr>
        <w:snapToGrid w:val="0"/>
        <w:spacing w:line="360" w:lineRule="auto"/>
        <w:ind w:firstLine="420"/>
        <w:rPr>
          <w:rFonts w:asciiTheme="minorEastAsia" w:hAnsiTheme="minorEastAsia" w:eastAsiaTheme="minorEastAsia" w:cstheme="minorEastAsia"/>
          <w:color w:val="auto"/>
          <w:sz w:val="21"/>
          <w:szCs w:val="21"/>
          <w:highlight w:val="none"/>
        </w:rPr>
      </w:pPr>
    </w:p>
    <w:p w14:paraId="4A58FAB9">
      <w:pPr>
        <w:adjustRightInd w:val="0"/>
        <w:snapToGrid w:val="0"/>
        <w:spacing w:line="360" w:lineRule="auto"/>
        <w:ind w:firstLine="420"/>
        <w:rPr>
          <w:rFonts w:asciiTheme="minorEastAsia" w:hAnsiTheme="minorEastAsia" w:eastAsiaTheme="minorEastAsia" w:cstheme="min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w:t>
      </w:r>
      <w:r>
        <w:rPr>
          <w:rFonts w:hint="eastAsia" w:asciiTheme="minorEastAsia" w:hAnsiTheme="minorEastAsia" w:eastAsiaTheme="minorEastAsia" w:cstheme="minorEastAsia"/>
          <w:color w:val="auto"/>
          <w:sz w:val="21"/>
          <w:szCs w:val="21"/>
          <w:highlight w:val="none"/>
        </w:rPr>
        <w:t>：（盖单位公章）</w:t>
      </w:r>
    </w:p>
    <w:p w14:paraId="3243EB37">
      <w:pPr>
        <w:snapToGrid w:val="0"/>
        <w:spacing w:line="360" w:lineRule="auto"/>
        <w:ind w:firstLine="420"/>
        <w:rPr>
          <w:rFonts w:ascii="Arial" w:hAnsi="Arial" w:cs="Arial"/>
          <w:b/>
          <w:color w:val="auto"/>
          <w:kern w:val="0"/>
          <w:sz w:val="28"/>
          <w:szCs w:val="28"/>
          <w:highlight w:val="none"/>
        </w:rPr>
      </w:pPr>
      <w:r>
        <w:rPr>
          <w:rFonts w:hint="eastAsia" w:asciiTheme="minorEastAsia" w:hAnsiTheme="minorEastAsia" w:eastAsiaTheme="minorEastAsia" w:cstheme="minorEastAsia"/>
          <w:color w:val="auto"/>
          <w:sz w:val="21"/>
          <w:szCs w:val="21"/>
          <w:highlight w:val="none"/>
        </w:rPr>
        <w:t>日期：202</w:t>
      </w:r>
      <w:r>
        <w:rPr>
          <w:rFonts w:hint="eastAsia" w:asciiTheme="minorEastAsia" w:hAnsiTheme="minorEastAsia" w:eastAsiaTheme="minorEastAsia" w:cstheme="minorEastAsia"/>
          <w:color w:val="auto"/>
          <w:sz w:val="21"/>
          <w:szCs w:val="21"/>
          <w:highlight w:val="none"/>
          <w:lang w:val="en-US" w:eastAsia="zh-CN"/>
        </w:rPr>
        <w:t>5</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月</w:t>
      </w:r>
      <w:r>
        <w:rPr>
          <w:rFonts w:hint="eastAsia" w:asciiTheme="minorEastAsia" w:hAnsiTheme="minorEastAsia" w:eastAsiaTheme="minorEastAsia" w:cstheme="minorEastAsia"/>
          <w:color w:val="auto"/>
          <w:sz w:val="21"/>
          <w:szCs w:val="21"/>
          <w:highlight w:val="none"/>
          <w:lang w:val="en-US" w:eastAsia="zh-CN"/>
        </w:rPr>
        <w:t xml:space="preserve"> </w:t>
      </w:r>
      <w:r>
        <w:rPr>
          <w:rFonts w:hint="eastAsia" w:asciiTheme="minorEastAsia" w:hAnsiTheme="minorEastAsia" w:eastAsiaTheme="minorEastAsia" w:cstheme="minorEastAsia"/>
          <w:color w:val="auto"/>
          <w:sz w:val="21"/>
          <w:szCs w:val="21"/>
          <w:highlight w:val="none"/>
        </w:rPr>
        <w:t>日</w:t>
      </w:r>
    </w:p>
    <w:p w14:paraId="01678925">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3" w:name="_Toc2247"/>
      <w:r>
        <w:rPr>
          <w:rFonts w:hint="eastAsia" w:ascii="Times New Roman" w:hAnsi="Times New Roman" w:eastAsia="宋体" w:cs="Arial"/>
          <w:color w:val="auto"/>
          <w:sz w:val="28"/>
          <w:szCs w:val="28"/>
          <w:highlight w:val="none"/>
        </w:rPr>
        <w:t>【声明函4】没有重大违法记录的声明函</w:t>
      </w:r>
      <w:bookmarkEnd w:id="303"/>
    </w:p>
    <w:p w14:paraId="28CC1730">
      <w:pPr>
        <w:snapToGrid w:val="0"/>
        <w:spacing w:line="300" w:lineRule="auto"/>
        <w:ind w:firstLine="562"/>
        <w:jc w:val="center"/>
        <w:rPr>
          <w:rFonts w:ascii="Arial" w:hAnsi="Arial" w:cs="Arial"/>
          <w:b/>
          <w:color w:val="auto"/>
          <w:kern w:val="0"/>
          <w:sz w:val="28"/>
          <w:szCs w:val="28"/>
          <w:highlight w:val="none"/>
        </w:rPr>
      </w:pPr>
    </w:p>
    <w:p w14:paraId="562BF545">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没有重大违法记录的声明函</w:t>
      </w:r>
    </w:p>
    <w:p w14:paraId="5C45D877">
      <w:pPr>
        <w:pStyle w:val="19"/>
        <w:adjustRightInd w:val="0"/>
        <w:snapToGrid w:val="0"/>
        <w:spacing w:line="300" w:lineRule="auto"/>
        <w:ind w:firstLine="420"/>
        <w:rPr>
          <w:rFonts w:ascii="Arial" w:hAnsi="Arial" w:cs="Arial"/>
          <w:color w:val="auto"/>
          <w:highlight w:val="none"/>
          <w:u w:val="single"/>
        </w:rPr>
      </w:pPr>
    </w:p>
    <w:p w14:paraId="3244F9FC">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53A32E2C">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670C16D2">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2025年龙游华水水业发展有限公司劳务承包采购项目（重招）</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前三年内没有重大违法记录（重大违法记录是指因违法经营受到刑事处罚、没有被责令停产停业、被吊销许可证或者执照、被处以较大数额罚款等行政处罚），没有因违法经营被禁止参加政府采购活动的期限未满情形</w:t>
      </w:r>
      <w:r>
        <w:rPr>
          <w:rFonts w:hint="eastAsia" w:asciiTheme="majorEastAsia" w:hAnsiTheme="majorEastAsia" w:eastAsiaTheme="majorEastAsia" w:cstheme="majorEastAsia"/>
          <w:color w:val="auto"/>
          <w:kern w:val="0"/>
          <w:sz w:val="21"/>
          <w:szCs w:val="21"/>
          <w:highlight w:val="none"/>
        </w:rPr>
        <w:t>。</w:t>
      </w:r>
    </w:p>
    <w:p w14:paraId="4DFCF045">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603B61C2">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6A71B4D7">
      <w:pPr>
        <w:adjustRightInd w:val="0"/>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投标人全称：（盖单位公章）</w:t>
      </w:r>
    </w:p>
    <w:p w14:paraId="51611734">
      <w:pPr>
        <w:adjustRightInd w:val="0"/>
        <w:snapToGrid w:val="0"/>
        <w:spacing w:line="480" w:lineRule="auto"/>
        <w:ind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lang w:val="en-US" w:eastAsia="zh-CN"/>
        </w:rPr>
        <w:t xml:space="preserve">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lang w:val="en-US" w:eastAsia="zh-CN"/>
        </w:rPr>
        <w:t xml:space="preserve"> </w:t>
      </w:r>
      <w:r>
        <w:rPr>
          <w:rFonts w:hint="eastAsia" w:asciiTheme="majorEastAsia" w:hAnsiTheme="majorEastAsia" w:eastAsiaTheme="majorEastAsia" w:cstheme="majorEastAsia"/>
          <w:color w:val="auto"/>
          <w:sz w:val="21"/>
          <w:szCs w:val="21"/>
          <w:highlight w:val="none"/>
        </w:rPr>
        <w:t>日</w:t>
      </w:r>
    </w:p>
    <w:p w14:paraId="32429498">
      <w:pPr>
        <w:pStyle w:val="11"/>
        <w:rPr>
          <w:color w:val="auto"/>
          <w:highlight w:val="none"/>
        </w:rPr>
      </w:pPr>
    </w:p>
    <w:p w14:paraId="50D1916A">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4" w:name="_Toc27978"/>
      <w:r>
        <w:rPr>
          <w:rFonts w:hint="eastAsia" w:ascii="Times New Roman" w:hAnsi="Times New Roman" w:eastAsia="宋体" w:cs="Arial"/>
          <w:color w:val="auto"/>
          <w:sz w:val="28"/>
          <w:szCs w:val="28"/>
          <w:highlight w:val="none"/>
        </w:rPr>
        <w:t>【声明函5】无违法失信的声明函</w:t>
      </w:r>
      <w:bookmarkEnd w:id="304"/>
    </w:p>
    <w:p w14:paraId="71988FAA">
      <w:pPr>
        <w:snapToGrid w:val="0"/>
        <w:spacing w:line="300" w:lineRule="auto"/>
        <w:ind w:firstLine="562"/>
        <w:jc w:val="center"/>
        <w:rPr>
          <w:rFonts w:ascii="Arial" w:hAnsi="Arial" w:cs="Arial"/>
          <w:b/>
          <w:color w:val="auto"/>
          <w:kern w:val="0"/>
          <w:sz w:val="28"/>
          <w:szCs w:val="28"/>
          <w:highlight w:val="none"/>
        </w:rPr>
      </w:pPr>
    </w:p>
    <w:p w14:paraId="45717581">
      <w:pPr>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无违法失信的声明函</w:t>
      </w:r>
    </w:p>
    <w:p w14:paraId="1212C683">
      <w:pPr>
        <w:pStyle w:val="19"/>
        <w:adjustRightInd w:val="0"/>
        <w:snapToGrid w:val="0"/>
        <w:spacing w:line="300" w:lineRule="auto"/>
        <w:ind w:firstLine="420"/>
        <w:rPr>
          <w:rFonts w:ascii="Arial" w:hAnsi="Arial" w:cs="Arial"/>
          <w:color w:val="auto"/>
          <w:highlight w:val="none"/>
          <w:u w:val="single"/>
        </w:rPr>
      </w:pPr>
    </w:p>
    <w:p w14:paraId="75D08F08">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0CC5DBCD">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4758A978">
      <w:pPr>
        <w:snapToGrid w:val="0"/>
        <w:spacing w:line="480" w:lineRule="auto"/>
        <w:ind w:firstLine="42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color w:val="auto"/>
          <w:sz w:val="21"/>
          <w:szCs w:val="21"/>
          <w:highlight w:val="none"/>
        </w:rPr>
        <w:t>截至</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2025年龙游华水水业发展有限公司劳务承包采购项目（重招）</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（项目编号）的投标截止时间，</w:t>
      </w:r>
      <w:r>
        <w:rPr>
          <w:rFonts w:hint="eastAsia" w:asciiTheme="majorEastAsia" w:hAnsiTheme="majorEastAsia" w:eastAsiaTheme="majorEastAsia" w:cstheme="majorEastAsia"/>
          <w:bCs/>
          <w:color w:val="auto"/>
          <w:kern w:val="10"/>
          <w:sz w:val="21"/>
          <w:szCs w:val="21"/>
          <w:highlight w:val="none"/>
        </w:rPr>
        <w:t>往前追溯三年，期间未被列入失信被执行人名单、重大税收违法案件当事人名单、政府采购严重违法失信行为记录名单。</w:t>
      </w:r>
    </w:p>
    <w:p w14:paraId="2E355DAE">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24A0F0FB">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7C3DE30B">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76B40048">
      <w:pPr>
        <w:snapToGrid w:val="0"/>
        <w:spacing w:line="480" w:lineRule="auto"/>
        <w:ind w:firstLine="420"/>
        <w:jc w:val="left"/>
        <w:rPr>
          <w:rFonts w:ascii="Arial" w:hAnsi="Arial" w:cs="Arial"/>
          <w:color w:val="auto"/>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0D2ABC48">
      <w:pPr>
        <w:snapToGrid w:val="0"/>
        <w:spacing w:line="300" w:lineRule="auto"/>
        <w:ind w:firstLine="480"/>
        <w:jc w:val="left"/>
        <w:rPr>
          <w:rFonts w:ascii="Arial" w:hAnsi="Arial" w:cs="Arial"/>
          <w:color w:val="auto"/>
          <w:szCs w:val="21"/>
          <w:highlight w:val="none"/>
        </w:rPr>
      </w:pPr>
    </w:p>
    <w:p w14:paraId="1FE9BBAF">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5" w:name="_Toc21693"/>
      <w:r>
        <w:rPr>
          <w:rFonts w:hint="eastAsia" w:ascii="Times New Roman" w:hAnsi="Times New Roman" w:eastAsia="宋体" w:cs="Arial"/>
          <w:color w:val="auto"/>
          <w:sz w:val="28"/>
          <w:szCs w:val="28"/>
          <w:highlight w:val="none"/>
        </w:rPr>
        <w:t>【声明函6】与其他供应商无利害关系的声明函</w:t>
      </w:r>
      <w:bookmarkEnd w:id="305"/>
    </w:p>
    <w:p w14:paraId="104A2855">
      <w:pPr>
        <w:pStyle w:val="19"/>
        <w:adjustRightInd w:val="0"/>
        <w:snapToGrid w:val="0"/>
        <w:spacing w:line="300" w:lineRule="auto"/>
        <w:ind w:firstLine="562"/>
        <w:jc w:val="center"/>
        <w:rPr>
          <w:rFonts w:ascii="Arial" w:hAnsi="Arial" w:cs="Arial"/>
          <w:b/>
          <w:color w:val="auto"/>
          <w:kern w:val="0"/>
          <w:sz w:val="28"/>
          <w:szCs w:val="28"/>
          <w:highlight w:val="none"/>
        </w:rPr>
      </w:pPr>
    </w:p>
    <w:p w14:paraId="34EDE0C3">
      <w:pPr>
        <w:pStyle w:val="19"/>
        <w:adjustRightInd w:val="0"/>
        <w:snapToGrid w:val="0"/>
        <w:spacing w:line="300" w:lineRule="auto"/>
        <w:ind w:firstLine="562"/>
        <w:jc w:val="center"/>
        <w:rPr>
          <w:rFonts w:ascii="Arial" w:hAnsi="Arial" w:cs="Arial"/>
          <w:b/>
          <w:color w:val="auto"/>
          <w:kern w:val="0"/>
          <w:sz w:val="28"/>
          <w:szCs w:val="28"/>
          <w:highlight w:val="none"/>
        </w:rPr>
      </w:pPr>
      <w:r>
        <w:rPr>
          <w:rFonts w:hint="eastAsia" w:ascii="Arial" w:hAnsi="Arial" w:cs="Arial"/>
          <w:b/>
          <w:color w:val="auto"/>
          <w:kern w:val="0"/>
          <w:sz w:val="28"/>
          <w:szCs w:val="28"/>
          <w:highlight w:val="none"/>
        </w:rPr>
        <w:t>与其他供应商无利害关系的声明函</w:t>
      </w:r>
    </w:p>
    <w:p w14:paraId="22D0427A">
      <w:pPr>
        <w:pStyle w:val="19"/>
        <w:adjustRightInd w:val="0"/>
        <w:snapToGrid w:val="0"/>
        <w:spacing w:line="300" w:lineRule="auto"/>
        <w:ind w:firstLine="420"/>
        <w:rPr>
          <w:rFonts w:ascii="Arial" w:hAnsi="Arial" w:cs="Arial"/>
          <w:color w:val="auto"/>
          <w:highlight w:val="none"/>
          <w:u w:val="single"/>
        </w:rPr>
      </w:pPr>
    </w:p>
    <w:p w14:paraId="2B07A132">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467A62F1">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1D3C6FA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2025年龙游华水水业发展有限公司劳务承包采购项目（重招）</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（项目编号）政府采购活动，与其他供应商不存在法定代表人为同一人或</w:t>
      </w:r>
      <w:r>
        <w:rPr>
          <w:rFonts w:hint="eastAsia" w:asciiTheme="majorEastAsia" w:hAnsiTheme="majorEastAsia" w:eastAsiaTheme="majorEastAsia" w:cstheme="majorEastAsia"/>
          <w:color w:val="auto"/>
          <w:kern w:val="0"/>
          <w:sz w:val="21"/>
          <w:szCs w:val="21"/>
          <w:highlight w:val="none"/>
        </w:rPr>
        <w:t>存在直接控股、管理关系。</w:t>
      </w:r>
    </w:p>
    <w:p w14:paraId="7F706953">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我方对上述声明的真实性负责。如有虚假，愿意承担相应责任，对此无任何异议。</w:t>
      </w:r>
    </w:p>
    <w:p w14:paraId="5EFCA84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62593513">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365A0CB8">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36575B6E">
      <w:pPr>
        <w:ind w:firstLine="480"/>
        <w:rPr>
          <w:color w:val="auto"/>
          <w:highlight w:val="none"/>
        </w:rPr>
      </w:pPr>
      <w:r>
        <w:rPr>
          <w:rFonts w:ascii="Arial" w:hAnsi="Arial" w:cs="Arial"/>
          <w:color w:val="auto"/>
          <w:szCs w:val="21"/>
          <w:highlight w:val="none"/>
        </w:rPr>
        <w:br w:type="page"/>
      </w:r>
    </w:p>
    <w:p w14:paraId="60CF3664">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6" w:name="_Toc14307"/>
      <w:r>
        <w:rPr>
          <w:rFonts w:hint="eastAsia" w:ascii="Times New Roman" w:hAnsi="Times New Roman" w:eastAsia="宋体" w:cs="Arial"/>
          <w:color w:val="auto"/>
          <w:sz w:val="28"/>
          <w:szCs w:val="28"/>
          <w:highlight w:val="none"/>
        </w:rPr>
        <w:t>【声明函7】单位组织形式声明函</w:t>
      </w:r>
      <w:bookmarkEnd w:id="306"/>
    </w:p>
    <w:p w14:paraId="25425802">
      <w:pPr>
        <w:snapToGrid w:val="0"/>
        <w:spacing w:line="300" w:lineRule="auto"/>
        <w:ind w:firstLine="480"/>
        <w:jc w:val="left"/>
        <w:rPr>
          <w:rFonts w:ascii="Arial" w:hAnsi="Arial" w:cs="Arial"/>
          <w:color w:val="auto"/>
          <w:szCs w:val="21"/>
          <w:highlight w:val="none"/>
        </w:rPr>
      </w:pPr>
    </w:p>
    <w:p w14:paraId="70AB82AB">
      <w:pPr>
        <w:snapToGrid w:val="0"/>
        <w:spacing w:line="300" w:lineRule="auto"/>
        <w:ind w:left="281" w:hanging="281" w:hangingChars="100"/>
        <w:jc w:val="center"/>
        <w:rPr>
          <w:rFonts w:ascii="Arial" w:hAnsi="Arial" w:cs="Arial"/>
          <w:b/>
          <w:bCs/>
          <w:color w:val="auto"/>
          <w:sz w:val="28"/>
          <w:szCs w:val="28"/>
          <w:highlight w:val="none"/>
        </w:rPr>
      </w:pPr>
      <w:r>
        <w:rPr>
          <w:rFonts w:hint="eastAsia" w:ascii="Arial" w:hAnsi="Arial" w:cs="Arial"/>
          <w:b/>
          <w:bCs/>
          <w:color w:val="auto"/>
          <w:sz w:val="28"/>
          <w:szCs w:val="28"/>
          <w:highlight w:val="none"/>
        </w:rPr>
        <w:t>单位组织形式声明函</w:t>
      </w:r>
    </w:p>
    <w:p w14:paraId="2B567850">
      <w:pPr>
        <w:pStyle w:val="19"/>
        <w:adjustRightInd w:val="0"/>
        <w:snapToGrid w:val="0"/>
        <w:spacing w:line="300" w:lineRule="auto"/>
        <w:ind w:firstLine="420"/>
        <w:rPr>
          <w:rFonts w:ascii="Arial" w:hAnsi="Arial" w:cs="Arial"/>
          <w:color w:val="auto"/>
          <w:highlight w:val="none"/>
          <w:u w:val="single"/>
        </w:rPr>
      </w:pPr>
    </w:p>
    <w:p w14:paraId="566A84FE">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1C422EAC">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236F9E6E">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w:t>
      </w:r>
      <w:r>
        <w:rPr>
          <w:rFonts w:hint="eastAsia" w:asciiTheme="majorEastAsia" w:hAnsiTheme="majorEastAsia" w:eastAsiaTheme="majorEastAsia" w:cstheme="majorEastAsia"/>
          <w:color w:val="auto"/>
          <w:kern w:val="0"/>
          <w:sz w:val="21"/>
          <w:szCs w:val="21"/>
          <w:highlight w:val="none"/>
        </w:rPr>
        <w:t>不是公益一类事业单位、使用事业编制且由财政拨款保障的群团组织。</w:t>
      </w:r>
    </w:p>
    <w:p w14:paraId="6038B6E5">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sz w:val="21"/>
          <w:szCs w:val="21"/>
          <w:highlight w:val="none"/>
        </w:rPr>
        <w:t>我方</w:t>
      </w:r>
      <w:r>
        <w:rPr>
          <w:rFonts w:hint="eastAsia" w:asciiTheme="majorEastAsia" w:hAnsiTheme="majorEastAsia" w:eastAsiaTheme="majorEastAsia" w:cstheme="majorEastAsia"/>
          <w:color w:val="auto"/>
          <w:kern w:val="0"/>
          <w:sz w:val="21"/>
          <w:szCs w:val="21"/>
          <w:highlight w:val="none"/>
        </w:rPr>
        <w:t>对上述声明的真实性负责。如有虚假，将依法承担相应责任。</w:t>
      </w:r>
    </w:p>
    <w:p w14:paraId="4BB57086">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2CC2D7F6">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0B51A5E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001BC5B3">
      <w:pPr>
        <w:pStyle w:val="10"/>
        <w:ind w:left="0" w:leftChars="0" w:firstLine="0" w:firstLineChars="0"/>
        <w:rPr>
          <w:color w:val="auto"/>
          <w:highlight w:val="none"/>
        </w:rPr>
      </w:pPr>
    </w:p>
    <w:p w14:paraId="056B1C89">
      <w:pPr>
        <w:pStyle w:val="2"/>
        <w:tabs>
          <w:tab w:val="left" w:pos="720"/>
        </w:tabs>
        <w:ind w:firstLine="482"/>
        <w:rPr>
          <w:rFonts w:cs="Arial"/>
          <w:color w:val="auto"/>
          <w:highlight w:val="none"/>
        </w:rPr>
      </w:pPr>
    </w:p>
    <w:p w14:paraId="2F28BA0B">
      <w:pPr>
        <w:pStyle w:val="2"/>
        <w:tabs>
          <w:tab w:val="left" w:pos="720"/>
        </w:tabs>
        <w:ind w:left="840" w:firstLine="422" w:firstLineChars="0"/>
        <w:jc w:val="center"/>
        <w:rPr>
          <w:rFonts w:ascii="Times New Roman" w:hAnsi="Times New Roman" w:eastAsia="宋体" w:cs="Arial"/>
          <w:color w:val="auto"/>
          <w:sz w:val="28"/>
          <w:szCs w:val="28"/>
          <w:highlight w:val="none"/>
        </w:rPr>
      </w:pPr>
      <w:bookmarkStart w:id="307" w:name="_Toc30886"/>
      <w:r>
        <w:rPr>
          <w:rFonts w:hint="eastAsia" w:ascii="Times New Roman" w:hAnsi="Times New Roman" w:eastAsia="宋体" w:cs="Arial"/>
          <w:color w:val="auto"/>
          <w:sz w:val="28"/>
          <w:szCs w:val="28"/>
          <w:highlight w:val="none"/>
        </w:rPr>
        <w:t>【声明函8】非联合体的声明函</w:t>
      </w:r>
      <w:bookmarkEnd w:id="307"/>
    </w:p>
    <w:p w14:paraId="3C0EA9B6">
      <w:pPr>
        <w:snapToGrid w:val="0"/>
        <w:spacing w:line="300" w:lineRule="auto"/>
        <w:ind w:firstLine="480"/>
        <w:jc w:val="left"/>
        <w:rPr>
          <w:rFonts w:ascii="Arial" w:hAnsi="Arial" w:cs="Arial"/>
          <w:color w:val="auto"/>
          <w:szCs w:val="21"/>
          <w:highlight w:val="none"/>
        </w:rPr>
      </w:pPr>
    </w:p>
    <w:p w14:paraId="5AC64D9D">
      <w:pPr>
        <w:snapToGrid w:val="0"/>
        <w:spacing w:line="300" w:lineRule="auto"/>
        <w:ind w:left="281" w:hanging="281" w:hangingChars="100"/>
        <w:jc w:val="center"/>
        <w:rPr>
          <w:rFonts w:ascii="Arial" w:hAnsi="Arial" w:cs="Arial"/>
          <w:b/>
          <w:bCs/>
          <w:color w:val="auto"/>
          <w:sz w:val="28"/>
          <w:szCs w:val="28"/>
          <w:highlight w:val="none"/>
        </w:rPr>
      </w:pPr>
      <w:r>
        <w:rPr>
          <w:rFonts w:hint="eastAsia" w:ascii="Arial" w:hAnsi="Arial" w:cs="Arial"/>
          <w:b/>
          <w:bCs/>
          <w:color w:val="auto"/>
          <w:sz w:val="28"/>
          <w:szCs w:val="28"/>
          <w:highlight w:val="none"/>
        </w:rPr>
        <w:t>非联合体的声明函</w:t>
      </w:r>
    </w:p>
    <w:p w14:paraId="733B7077">
      <w:pPr>
        <w:pStyle w:val="19"/>
        <w:adjustRightInd w:val="0"/>
        <w:snapToGrid w:val="0"/>
        <w:spacing w:line="480" w:lineRule="auto"/>
        <w:ind w:firstLine="420"/>
        <w:rPr>
          <w:rFonts w:ascii="Arial" w:hAnsi="Arial" w:cs="Arial"/>
          <w:color w:val="auto"/>
          <w:highlight w:val="none"/>
        </w:rPr>
      </w:pPr>
      <w:r>
        <w:rPr>
          <w:rFonts w:hint="eastAsia" w:ascii="Arial" w:hAnsi="Arial" w:cs="Arial"/>
          <w:color w:val="auto"/>
          <w:highlight w:val="none"/>
          <w:u w:val="single"/>
          <w:lang w:eastAsia="zh-CN"/>
        </w:rPr>
        <w:t>龙游华水水业发展有限公司</w:t>
      </w:r>
      <w:r>
        <w:rPr>
          <w:rFonts w:hint="eastAsia" w:ascii="Arial" w:hAnsi="Arial" w:cs="Arial"/>
          <w:color w:val="auto"/>
          <w:highlight w:val="none"/>
        </w:rPr>
        <w:t>：</w:t>
      </w:r>
    </w:p>
    <w:p w14:paraId="4892C711">
      <w:pPr>
        <w:snapToGrid w:val="0"/>
        <w:spacing w:line="48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u w:val="single"/>
        </w:rPr>
        <w:t>泰宇建筑工程技术咨询有限公司</w:t>
      </w:r>
      <w:r>
        <w:rPr>
          <w:rFonts w:hint="eastAsia" w:asciiTheme="majorEastAsia" w:hAnsiTheme="majorEastAsia" w:eastAsiaTheme="majorEastAsia" w:cstheme="majorEastAsia"/>
          <w:color w:val="auto"/>
          <w:sz w:val="21"/>
          <w:szCs w:val="21"/>
          <w:highlight w:val="none"/>
        </w:rPr>
        <w:t>：</w:t>
      </w:r>
    </w:p>
    <w:p w14:paraId="637C5C01">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我方独立参加</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2025年龙游华水水业发展有限公司劳务承包采购项目（重招）</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（项目编号）政府采购活动，未与其他单位组成联合体。</w:t>
      </w:r>
    </w:p>
    <w:p w14:paraId="169BA2B8">
      <w:pPr>
        <w:snapToGrid w:val="0"/>
        <w:spacing w:line="480" w:lineRule="auto"/>
        <w:ind w:firstLine="420"/>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本公司对上述声明的真实性负责。如有虚假，将依法承担相应责任。</w:t>
      </w:r>
    </w:p>
    <w:p w14:paraId="1EBAA30D">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特此声明！</w:t>
      </w:r>
    </w:p>
    <w:p w14:paraId="04D7573B">
      <w:pPr>
        <w:adjustRightInd w:val="0"/>
        <w:snapToGrid w:val="0"/>
        <w:spacing w:line="480" w:lineRule="auto"/>
        <w:ind w:firstLine="420"/>
        <w:rPr>
          <w:rFonts w:asciiTheme="majorEastAsia" w:hAnsiTheme="majorEastAsia" w:eastAsiaTheme="majorEastAsia" w:cstheme="majorEastAsia"/>
          <w:color w:val="auto"/>
          <w:spacing w:val="20"/>
          <w:sz w:val="21"/>
          <w:szCs w:val="21"/>
          <w:highlight w:val="none"/>
          <w:u w:val="single"/>
        </w:rPr>
      </w:pPr>
      <w:r>
        <w:rPr>
          <w:rFonts w:hint="eastAsia" w:asciiTheme="majorEastAsia" w:hAnsiTheme="majorEastAsia" w:eastAsiaTheme="majorEastAsia" w:cstheme="majorEastAsia"/>
          <w:color w:val="auto"/>
          <w:sz w:val="21"/>
          <w:szCs w:val="21"/>
          <w:highlight w:val="none"/>
        </w:rPr>
        <w:t>投标人全称：（盖单位公章）</w:t>
      </w:r>
    </w:p>
    <w:p w14:paraId="6434BE0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日期：202</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年月日</w:t>
      </w:r>
    </w:p>
    <w:p w14:paraId="6A486D59">
      <w:pPr>
        <w:pStyle w:val="11"/>
        <w:ind w:left="480" w:firstLine="480"/>
        <w:rPr>
          <w:color w:val="auto"/>
          <w:highlight w:val="none"/>
        </w:rPr>
      </w:pPr>
    </w:p>
    <w:p w14:paraId="560B54A6">
      <w:pPr>
        <w:spacing w:line="360" w:lineRule="auto"/>
        <w:ind w:firstLine="482"/>
        <w:rPr>
          <w:rFonts w:ascii="宋体" w:hAnsi="宋体" w:cs="宋体"/>
          <w:b/>
          <w:color w:val="auto"/>
          <w:highlight w:val="none"/>
        </w:rPr>
      </w:pPr>
    </w:p>
    <w:p w14:paraId="7B663527">
      <w:pPr>
        <w:spacing w:line="360" w:lineRule="auto"/>
        <w:ind w:firstLine="643"/>
        <w:jc w:val="center"/>
        <w:rPr>
          <w:rFonts w:ascii="宋体" w:hAnsi="宋体" w:cs="宋体"/>
          <w:b/>
          <w:bCs/>
          <w:color w:val="auto"/>
          <w:sz w:val="32"/>
          <w:szCs w:val="20"/>
          <w:highlight w:val="none"/>
        </w:rPr>
      </w:pPr>
    </w:p>
    <w:p w14:paraId="4F8F51C1">
      <w:pPr>
        <w:spacing w:line="360" w:lineRule="auto"/>
        <w:ind w:firstLine="643"/>
        <w:jc w:val="center"/>
        <w:rPr>
          <w:rFonts w:ascii="宋体" w:hAnsi="宋体" w:cs="宋体"/>
          <w:b/>
          <w:bCs/>
          <w:color w:val="auto"/>
          <w:sz w:val="32"/>
          <w:szCs w:val="20"/>
          <w:highlight w:val="none"/>
        </w:rPr>
      </w:pPr>
      <w:r>
        <w:rPr>
          <w:rFonts w:hint="eastAsia" w:ascii="宋体" w:hAnsi="宋体" w:cs="宋体"/>
          <w:b/>
          <w:bCs/>
          <w:color w:val="auto"/>
          <w:sz w:val="32"/>
          <w:szCs w:val="20"/>
          <w:highlight w:val="none"/>
        </w:rPr>
        <w:t>（二）资信技术文件</w:t>
      </w:r>
    </w:p>
    <w:p w14:paraId="0F41ADEC">
      <w:pPr>
        <w:snapToGrid w:val="0"/>
        <w:spacing w:before="50" w:after="167" w:afterLines="50"/>
        <w:ind w:firstLine="480"/>
        <w:jc w:val="center"/>
        <w:rPr>
          <w:rFonts w:ascii="宋体" w:hAnsi="宋体" w:cs="宋体"/>
          <w:b/>
          <w:color w:val="auto"/>
          <w:sz w:val="30"/>
          <w:highlight w:val="none"/>
        </w:rPr>
      </w:pPr>
      <w:r>
        <w:rPr>
          <w:rFonts w:hint="eastAsia" w:ascii="宋体" w:hAnsi="宋体" w:cs="Arial"/>
          <w:color w:val="auto"/>
          <w:kern w:val="0"/>
          <w:szCs w:val="21"/>
          <w:highlight w:val="none"/>
        </w:rPr>
        <w:t xml:space="preserve"> </w:t>
      </w:r>
      <w:r>
        <w:rPr>
          <w:rFonts w:hint="eastAsia" w:ascii="宋体" w:hAnsi="宋体" w:cs="宋体"/>
          <w:b/>
          <w:color w:val="auto"/>
          <w:sz w:val="30"/>
          <w:highlight w:val="none"/>
        </w:rPr>
        <w:t>投标人自评分表（格式）</w:t>
      </w:r>
    </w:p>
    <w:tbl>
      <w:tblPr>
        <w:tblStyle w:val="37"/>
        <w:tblW w:w="879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1"/>
        <w:gridCol w:w="1037"/>
        <w:gridCol w:w="4378"/>
        <w:gridCol w:w="840"/>
        <w:gridCol w:w="897"/>
        <w:gridCol w:w="1104"/>
      </w:tblGrid>
      <w:tr w14:paraId="072FA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84BE888">
            <w:pPr>
              <w:spacing w:line="260" w:lineRule="exact"/>
              <w:ind w:firstLine="0" w:firstLineChars="0"/>
              <w:rPr>
                <w:rFonts w:ascii="宋体" w:hAnsi="宋体"/>
                <w:color w:val="auto"/>
                <w:highlight w:val="none"/>
              </w:rPr>
            </w:pPr>
            <w:r>
              <w:rPr>
                <w:rFonts w:hint="eastAsia" w:ascii="宋体" w:hAnsi="宋体"/>
                <w:color w:val="auto"/>
                <w:highlight w:val="none"/>
              </w:rPr>
              <w:t>序号</w:t>
            </w:r>
          </w:p>
        </w:tc>
        <w:tc>
          <w:tcPr>
            <w:tcW w:w="1037" w:type="dxa"/>
            <w:vAlign w:val="center"/>
          </w:tcPr>
          <w:p w14:paraId="3A69816C">
            <w:pPr>
              <w:spacing w:line="260" w:lineRule="exact"/>
              <w:ind w:firstLine="0" w:firstLineChars="0"/>
              <w:jc w:val="center"/>
              <w:rPr>
                <w:rFonts w:ascii="宋体" w:hAnsi="宋体"/>
                <w:color w:val="auto"/>
                <w:highlight w:val="none"/>
              </w:rPr>
            </w:pPr>
            <w:r>
              <w:rPr>
                <w:rFonts w:hint="eastAsia" w:ascii="宋体" w:hAnsi="宋体"/>
                <w:color w:val="auto"/>
                <w:highlight w:val="none"/>
              </w:rPr>
              <w:t>评审</w:t>
            </w:r>
          </w:p>
          <w:p w14:paraId="784C627B">
            <w:pPr>
              <w:spacing w:line="260" w:lineRule="exact"/>
              <w:ind w:firstLine="0" w:firstLineChars="0"/>
              <w:jc w:val="center"/>
              <w:rPr>
                <w:rFonts w:ascii="宋体" w:hAnsi="宋体"/>
                <w:color w:val="auto"/>
                <w:highlight w:val="none"/>
              </w:rPr>
            </w:pPr>
            <w:r>
              <w:rPr>
                <w:rFonts w:hint="eastAsia" w:ascii="宋体" w:hAnsi="宋体"/>
                <w:color w:val="auto"/>
                <w:highlight w:val="none"/>
              </w:rPr>
              <w:t>内容</w:t>
            </w:r>
          </w:p>
        </w:tc>
        <w:tc>
          <w:tcPr>
            <w:tcW w:w="4378" w:type="dxa"/>
            <w:vAlign w:val="center"/>
          </w:tcPr>
          <w:p w14:paraId="0905281D">
            <w:pPr>
              <w:spacing w:line="260" w:lineRule="exact"/>
              <w:ind w:firstLine="480"/>
              <w:jc w:val="center"/>
              <w:rPr>
                <w:rFonts w:ascii="宋体" w:hAnsi="宋体"/>
                <w:color w:val="auto"/>
                <w:highlight w:val="none"/>
              </w:rPr>
            </w:pPr>
            <w:r>
              <w:rPr>
                <w:rFonts w:hint="eastAsia" w:ascii="宋体" w:hAnsi="宋体"/>
                <w:color w:val="auto"/>
                <w:highlight w:val="none"/>
              </w:rPr>
              <w:t>评分标准</w:t>
            </w:r>
          </w:p>
        </w:tc>
        <w:tc>
          <w:tcPr>
            <w:tcW w:w="840" w:type="dxa"/>
            <w:vAlign w:val="center"/>
          </w:tcPr>
          <w:p w14:paraId="05F1FC9A">
            <w:pPr>
              <w:spacing w:line="260" w:lineRule="exact"/>
              <w:ind w:firstLine="0" w:firstLineChars="0"/>
              <w:rPr>
                <w:rFonts w:ascii="宋体" w:hAnsi="宋体"/>
                <w:color w:val="auto"/>
                <w:highlight w:val="none"/>
              </w:rPr>
            </w:pPr>
            <w:r>
              <w:rPr>
                <w:rFonts w:hint="eastAsia" w:ascii="宋体" w:hAnsi="宋体"/>
                <w:color w:val="auto"/>
                <w:highlight w:val="none"/>
              </w:rPr>
              <w:t>分值</w:t>
            </w:r>
          </w:p>
        </w:tc>
        <w:tc>
          <w:tcPr>
            <w:tcW w:w="897" w:type="dxa"/>
            <w:vAlign w:val="center"/>
          </w:tcPr>
          <w:p w14:paraId="3F5C579E">
            <w:pPr>
              <w:spacing w:line="260" w:lineRule="exact"/>
              <w:ind w:firstLine="0" w:firstLineChars="0"/>
              <w:rPr>
                <w:rFonts w:ascii="宋体" w:hAnsi="宋体"/>
                <w:color w:val="auto"/>
                <w:highlight w:val="none"/>
              </w:rPr>
            </w:pPr>
            <w:r>
              <w:rPr>
                <w:rFonts w:hint="eastAsia" w:ascii="宋体" w:hAnsi="宋体"/>
                <w:color w:val="auto"/>
                <w:highlight w:val="none"/>
              </w:rPr>
              <w:t>供应商自评分</w:t>
            </w:r>
          </w:p>
        </w:tc>
        <w:tc>
          <w:tcPr>
            <w:tcW w:w="1104" w:type="dxa"/>
            <w:vAlign w:val="center"/>
          </w:tcPr>
          <w:p w14:paraId="3702E035">
            <w:pPr>
              <w:spacing w:line="260" w:lineRule="exact"/>
              <w:ind w:firstLine="0" w:firstLineChars="0"/>
              <w:rPr>
                <w:rFonts w:ascii="宋体" w:hAnsi="宋体"/>
                <w:color w:val="auto"/>
                <w:highlight w:val="none"/>
              </w:rPr>
            </w:pPr>
            <w:r>
              <w:rPr>
                <w:rFonts w:hint="eastAsia" w:ascii="宋体" w:hAnsi="宋体"/>
                <w:color w:val="auto"/>
                <w:highlight w:val="none"/>
              </w:rPr>
              <w:t>响应文件对应页码</w:t>
            </w:r>
          </w:p>
        </w:tc>
      </w:tr>
      <w:tr w14:paraId="1B44E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6785013D">
            <w:pPr>
              <w:spacing w:line="260" w:lineRule="exact"/>
              <w:ind w:firstLine="480"/>
              <w:jc w:val="center"/>
              <w:rPr>
                <w:rFonts w:ascii="宋体" w:hAnsi="宋体"/>
                <w:color w:val="auto"/>
                <w:highlight w:val="none"/>
              </w:rPr>
            </w:pPr>
          </w:p>
        </w:tc>
        <w:tc>
          <w:tcPr>
            <w:tcW w:w="1037" w:type="dxa"/>
            <w:vAlign w:val="center"/>
          </w:tcPr>
          <w:p w14:paraId="631FFDBE">
            <w:pPr>
              <w:spacing w:line="260" w:lineRule="exact"/>
              <w:ind w:firstLine="480"/>
              <w:jc w:val="center"/>
              <w:rPr>
                <w:rFonts w:ascii="宋体" w:hAnsi="宋体"/>
                <w:color w:val="auto"/>
                <w:highlight w:val="none"/>
              </w:rPr>
            </w:pPr>
          </w:p>
        </w:tc>
        <w:tc>
          <w:tcPr>
            <w:tcW w:w="4378" w:type="dxa"/>
            <w:vAlign w:val="center"/>
          </w:tcPr>
          <w:p w14:paraId="5B3DFD96">
            <w:pPr>
              <w:spacing w:line="260" w:lineRule="exact"/>
              <w:ind w:firstLine="480"/>
              <w:jc w:val="center"/>
              <w:rPr>
                <w:rFonts w:ascii="宋体" w:hAnsi="宋体"/>
                <w:color w:val="auto"/>
                <w:highlight w:val="none"/>
              </w:rPr>
            </w:pPr>
          </w:p>
        </w:tc>
        <w:tc>
          <w:tcPr>
            <w:tcW w:w="840" w:type="dxa"/>
            <w:vAlign w:val="center"/>
          </w:tcPr>
          <w:p w14:paraId="18CEB1CE">
            <w:pPr>
              <w:spacing w:line="260" w:lineRule="exact"/>
              <w:ind w:firstLine="480"/>
              <w:jc w:val="center"/>
              <w:rPr>
                <w:rFonts w:ascii="宋体" w:hAnsi="宋体"/>
                <w:color w:val="auto"/>
                <w:highlight w:val="none"/>
              </w:rPr>
            </w:pPr>
          </w:p>
        </w:tc>
        <w:tc>
          <w:tcPr>
            <w:tcW w:w="897" w:type="dxa"/>
          </w:tcPr>
          <w:p w14:paraId="361E23D3">
            <w:pPr>
              <w:spacing w:line="260" w:lineRule="exact"/>
              <w:ind w:firstLine="480"/>
              <w:jc w:val="center"/>
              <w:rPr>
                <w:rFonts w:ascii="宋体" w:hAnsi="宋体"/>
                <w:color w:val="auto"/>
                <w:highlight w:val="none"/>
              </w:rPr>
            </w:pPr>
          </w:p>
        </w:tc>
        <w:tc>
          <w:tcPr>
            <w:tcW w:w="1104" w:type="dxa"/>
          </w:tcPr>
          <w:p w14:paraId="0578D876">
            <w:pPr>
              <w:spacing w:line="260" w:lineRule="exact"/>
              <w:ind w:firstLine="480"/>
              <w:jc w:val="center"/>
              <w:rPr>
                <w:rFonts w:ascii="宋体" w:hAnsi="宋体"/>
                <w:color w:val="auto"/>
                <w:highlight w:val="none"/>
              </w:rPr>
            </w:pPr>
          </w:p>
        </w:tc>
      </w:tr>
      <w:tr w14:paraId="16F6A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2EE72B0E">
            <w:pPr>
              <w:spacing w:line="260" w:lineRule="exact"/>
              <w:ind w:firstLine="480"/>
              <w:jc w:val="center"/>
              <w:rPr>
                <w:rFonts w:ascii="宋体" w:hAnsi="宋体"/>
                <w:color w:val="auto"/>
                <w:highlight w:val="none"/>
              </w:rPr>
            </w:pPr>
          </w:p>
          <w:p w14:paraId="1A93B065">
            <w:pPr>
              <w:spacing w:line="260" w:lineRule="exact"/>
              <w:ind w:firstLine="480"/>
              <w:jc w:val="center"/>
              <w:rPr>
                <w:rFonts w:ascii="宋体" w:hAnsi="宋体"/>
                <w:color w:val="auto"/>
                <w:highlight w:val="none"/>
              </w:rPr>
            </w:pPr>
          </w:p>
        </w:tc>
        <w:tc>
          <w:tcPr>
            <w:tcW w:w="1037" w:type="dxa"/>
            <w:vAlign w:val="center"/>
          </w:tcPr>
          <w:p w14:paraId="43D5A046">
            <w:pPr>
              <w:spacing w:line="260" w:lineRule="exact"/>
              <w:ind w:firstLine="480"/>
              <w:jc w:val="center"/>
              <w:rPr>
                <w:rFonts w:ascii="宋体" w:hAnsi="宋体"/>
                <w:color w:val="auto"/>
                <w:highlight w:val="none"/>
              </w:rPr>
            </w:pPr>
          </w:p>
        </w:tc>
        <w:tc>
          <w:tcPr>
            <w:tcW w:w="4378" w:type="dxa"/>
            <w:vAlign w:val="center"/>
          </w:tcPr>
          <w:p w14:paraId="2F30A2C6">
            <w:pPr>
              <w:spacing w:line="260" w:lineRule="exact"/>
              <w:ind w:firstLine="480"/>
              <w:jc w:val="center"/>
              <w:rPr>
                <w:rFonts w:ascii="宋体" w:hAnsi="宋体"/>
                <w:color w:val="auto"/>
                <w:highlight w:val="none"/>
              </w:rPr>
            </w:pPr>
          </w:p>
        </w:tc>
        <w:tc>
          <w:tcPr>
            <w:tcW w:w="840" w:type="dxa"/>
            <w:vAlign w:val="center"/>
          </w:tcPr>
          <w:p w14:paraId="2AF30A5D">
            <w:pPr>
              <w:spacing w:line="260" w:lineRule="exact"/>
              <w:ind w:firstLine="480"/>
              <w:jc w:val="center"/>
              <w:rPr>
                <w:rFonts w:ascii="宋体" w:hAnsi="宋体"/>
                <w:color w:val="auto"/>
                <w:highlight w:val="none"/>
              </w:rPr>
            </w:pPr>
          </w:p>
        </w:tc>
        <w:tc>
          <w:tcPr>
            <w:tcW w:w="897" w:type="dxa"/>
          </w:tcPr>
          <w:p w14:paraId="16A34D33">
            <w:pPr>
              <w:spacing w:line="260" w:lineRule="exact"/>
              <w:ind w:firstLine="480"/>
              <w:jc w:val="center"/>
              <w:rPr>
                <w:rFonts w:ascii="宋体" w:hAnsi="宋体"/>
                <w:color w:val="auto"/>
                <w:highlight w:val="none"/>
              </w:rPr>
            </w:pPr>
          </w:p>
        </w:tc>
        <w:tc>
          <w:tcPr>
            <w:tcW w:w="1104" w:type="dxa"/>
          </w:tcPr>
          <w:p w14:paraId="2C27B470">
            <w:pPr>
              <w:spacing w:line="260" w:lineRule="exact"/>
              <w:ind w:firstLine="480"/>
              <w:jc w:val="center"/>
              <w:rPr>
                <w:rFonts w:ascii="宋体" w:hAnsi="宋体"/>
                <w:color w:val="auto"/>
                <w:highlight w:val="none"/>
              </w:rPr>
            </w:pPr>
          </w:p>
        </w:tc>
      </w:tr>
      <w:tr w14:paraId="45C64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7329408">
            <w:pPr>
              <w:spacing w:line="260" w:lineRule="exact"/>
              <w:ind w:firstLine="480"/>
              <w:jc w:val="center"/>
              <w:rPr>
                <w:rFonts w:ascii="宋体" w:hAnsi="宋体"/>
                <w:color w:val="auto"/>
                <w:highlight w:val="none"/>
              </w:rPr>
            </w:pPr>
          </w:p>
        </w:tc>
        <w:tc>
          <w:tcPr>
            <w:tcW w:w="1037" w:type="dxa"/>
            <w:vAlign w:val="center"/>
          </w:tcPr>
          <w:p w14:paraId="1024A444">
            <w:pPr>
              <w:spacing w:line="260" w:lineRule="exact"/>
              <w:ind w:firstLine="480"/>
              <w:jc w:val="center"/>
              <w:rPr>
                <w:rFonts w:ascii="宋体" w:hAnsi="宋体"/>
                <w:color w:val="auto"/>
                <w:highlight w:val="none"/>
              </w:rPr>
            </w:pPr>
          </w:p>
        </w:tc>
        <w:tc>
          <w:tcPr>
            <w:tcW w:w="4378" w:type="dxa"/>
            <w:vAlign w:val="center"/>
          </w:tcPr>
          <w:p w14:paraId="18861914">
            <w:pPr>
              <w:spacing w:line="260" w:lineRule="exact"/>
              <w:ind w:firstLine="480"/>
              <w:jc w:val="center"/>
              <w:rPr>
                <w:rFonts w:ascii="宋体" w:hAnsi="宋体"/>
                <w:color w:val="auto"/>
                <w:highlight w:val="none"/>
              </w:rPr>
            </w:pPr>
          </w:p>
        </w:tc>
        <w:tc>
          <w:tcPr>
            <w:tcW w:w="840" w:type="dxa"/>
            <w:vAlign w:val="center"/>
          </w:tcPr>
          <w:p w14:paraId="2129E788">
            <w:pPr>
              <w:spacing w:line="260" w:lineRule="exact"/>
              <w:ind w:firstLine="480"/>
              <w:jc w:val="center"/>
              <w:rPr>
                <w:rFonts w:ascii="宋体" w:hAnsi="宋体"/>
                <w:color w:val="auto"/>
                <w:highlight w:val="none"/>
              </w:rPr>
            </w:pPr>
          </w:p>
        </w:tc>
        <w:tc>
          <w:tcPr>
            <w:tcW w:w="897" w:type="dxa"/>
          </w:tcPr>
          <w:p w14:paraId="6BDF2A7C">
            <w:pPr>
              <w:spacing w:line="260" w:lineRule="exact"/>
              <w:ind w:firstLine="480"/>
              <w:jc w:val="center"/>
              <w:rPr>
                <w:rFonts w:ascii="宋体" w:hAnsi="宋体"/>
                <w:color w:val="auto"/>
                <w:highlight w:val="none"/>
              </w:rPr>
            </w:pPr>
          </w:p>
        </w:tc>
        <w:tc>
          <w:tcPr>
            <w:tcW w:w="1104" w:type="dxa"/>
          </w:tcPr>
          <w:p w14:paraId="3D6E7A9B">
            <w:pPr>
              <w:spacing w:line="260" w:lineRule="exact"/>
              <w:ind w:firstLine="480"/>
              <w:jc w:val="center"/>
              <w:rPr>
                <w:rFonts w:ascii="宋体" w:hAnsi="宋体"/>
                <w:color w:val="auto"/>
                <w:highlight w:val="none"/>
              </w:rPr>
            </w:pPr>
          </w:p>
        </w:tc>
      </w:tr>
      <w:tr w14:paraId="759E6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717424BD">
            <w:pPr>
              <w:spacing w:line="260" w:lineRule="exact"/>
              <w:ind w:firstLine="480"/>
              <w:jc w:val="center"/>
              <w:rPr>
                <w:rFonts w:ascii="宋体" w:hAnsi="宋体"/>
                <w:color w:val="auto"/>
                <w:highlight w:val="none"/>
              </w:rPr>
            </w:pPr>
          </w:p>
        </w:tc>
        <w:tc>
          <w:tcPr>
            <w:tcW w:w="1037" w:type="dxa"/>
            <w:vAlign w:val="center"/>
          </w:tcPr>
          <w:p w14:paraId="742D0AB1">
            <w:pPr>
              <w:spacing w:line="260" w:lineRule="exact"/>
              <w:ind w:firstLine="480"/>
              <w:jc w:val="center"/>
              <w:rPr>
                <w:rFonts w:ascii="宋体" w:hAnsi="宋体"/>
                <w:color w:val="auto"/>
                <w:highlight w:val="none"/>
              </w:rPr>
            </w:pPr>
          </w:p>
        </w:tc>
        <w:tc>
          <w:tcPr>
            <w:tcW w:w="4378" w:type="dxa"/>
            <w:vAlign w:val="center"/>
          </w:tcPr>
          <w:p w14:paraId="0E988EF6">
            <w:pPr>
              <w:spacing w:line="260" w:lineRule="exact"/>
              <w:ind w:firstLine="480"/>
              <w:jc w:val="center"/>
              <w:rPr>
                <w:rFonts w:ascii="宋体" w:hAnsi="宋体"/>
                <w:color w:val="auto"/>
                <w:highlight w:val="none"/>
              </w:rPr>
            </w:pPr>
          </w:p>
        </w:tc>
        <w:tc>
          <w:tcPr>
            <w:tcW w:w="840" w:type="dxa"/>
            <w:vAlign w:val="center"/>
          </w:tcPr>
          <w:p w14:paraId="2A4BB849">
            <w:pPr>
              <w:spacing w:line="260" w:lineRule="exact"/>
              <w:ind w:firstLine="480"/>
              <w:jc w:val="center"/>
              <w:rPr>
                <w:rFonts w:ascii="宋体" w:hAnsi="宋体"/>
                <w:color w:val="auto"/>
                <w:highlight w:val="none"/>
              </w:rPr>
            </w:pPr>
          </w:p>
        </w:tc>
        <w:tc>
          <w:tcPr>
            <w:tcW w:w="897" w:type="dxa"/>
          </w:tcPr>
          <w:p w14:paraId="4094319E">
            <w:pPr>
              <w:spacing w:line="260" w:lineRule="exact"/>
              <w:ind w:firstLine="480"/>
              <w:jc w:val="center"/>
              <w:rPr>
                <w:rFonts w:ascii="宋体" w:hAnsi="宋体"/>
                <w:color w:val="auto"/>
                <w:highlight w:val="none"/>
              </w:rPr>
            </w:pPr>
          </w:p>
        </w:tc>
        <w:tc>
          <w:tcPr>
            <w:tcW w:w="1104" w:type="dxa"/>
          </w:tcPr>
          <w:p w14:paraId="1E08387A">
            <w:pPr>
              <w:spacing w:line="260" w:lineRule="exact"/>
              <w:ind w:firstLine="480"/>
              <w:jc w:val="center"/>
              <w:rPr>
                <w:rFonts w:ascii="宋体" w:hAnsi="宋体"/>
                <w:color w:val="auto"/>
                <w:highlight w:val="none"/>
              </w:rPr>
            </w:pPr>
          </w:p>
        </w:tc>
      </w:tr>
      <w:tr w14:paraId="6792A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4403FCC7">
            <w:pPr>
              <w:spacing w:line="260" w:lineRule="exact"/>
              <w:ind w:firstLine="480"/>
              <w:jc w:val="center"/>
              <w:rPr>
                <w:rFonts w:ascii="宋体" w:hAnsi="宋体"/>
                <w:color w:val="auto"/>
                <w:highlight w:val="none"/>
              </w:rPr>
            </w:pPr>
          </w:p>
        </w:tc>
        <w:tc>
          <w:tcPr>
            <w:tcW w:w="1037" w:type="dxa"/>
            <w:vAlign w:val="center"/>
          </w:tcPr>
          <w:p w14:paraId="02CEEA2D">
            <w:pPr>
              <w:spacing w:line="260" w:lineRule="exact"/>
              <w:ind w:firstLine="480"/>
              <w:jc w:val="center"/>
              <w:rPr>
                <w:rFonts w:ascii="宋体" w:hAnsi="宋体"/>
                <w:color w:val="auto"/>
                <w:highlight w:val="none"/>
              </w:rPr>
            </w:pPr>
          </w:p>
        </w:tc>
        <w:tc>
          <w:tcPr>
            <w:tcW w:w="4378" w:type="dxa"/>
            <w:vAlign w:val="center"/>
          </w:tcPr>
          <w:p w14:paraId="0BD95012">
            <w:pPr>
              <w:spacing w:line="260" w:lineRule="exact"/>
              <w:ind w:firstLine="480"/>
              <w:jc w:val="center"/>
              <w:rPr>
                <w:rFonts w:ascii="宋体" w:hAnsi="宋体"/>
                <w:color w:val="auto"/>
                <w:highlight w:val="none"/>
              </w:rPr>
            </w:pPr>
          </w:p>
        </w:tc>
        <w:tc>
          <w:tcPr>
            <w:tcW w:w="840" w:type="dxa"/>
            <w:vAlign w:val="center"/>
          </w:tcPr>
          <w:p w14:paraId="37E1C7BA">
            <w:pPr>
              <w:spacing w:line="260" w:lineRule="exact"/>
              <w:ind w:firstLine="480"/>
              <w:jc w:val="center"/>
              <w:rPr>
                <w:rFonts w:ascii="宋体" w:hAnsi="宋体"/>
                <w:color w:val="auto"/>
                <w:highlight w:val="none"/>
              </w:rPr>
            </w:pPr>
          </w:p>
        </w:tc>
        <w:tc>
          <w:tcPr>
            <w:tcW w:w="897" w:type="dxa"/>
          </w:tcPr>
          <w:p w14:paraId="768391BA">
            <w:pPr>
              <w:spacing w:line="260" w:lineRule="exact"/>
              <w:ind w:firstLine="480"/>
              <w:jc w:val="center"/>
              <w:rPr>
                <w:rFonts w:ascii="宋体" w:hAnsi="宋体"/>
                <w:color w:val="auto"/>
                <w:highlight w:val="none"/>
              </w:rPr>
            </w:pPr>
          </w:p>
        </w:tc>
        <w:tc>
          <w:tcPr>
            <w:tcW w:w="1104" w:type="dxa"/>
          </w:tcPr>
          <w:p w14:paraId="0914A1B8">
            <w:pPr>
              <w:spacing w:line="260" w:lineRule="exact"/>
              <w:ind w:firstLine="480"/>
              <w:jc w:val="center"/>
              <w:rPr>
                <w:rFonts w:ascii="宋体" w:hAnsi="宋体"/>
                <w:color w:val="auto"/>
                <w:highlight w:val="none"/>
              </w:rPr>
            </w:pPr>
          </w:p>
        </w:tc>
      </w:tr>
      <w:tr w14:paraId="0FD05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26536628">
            <w:pPr>
              <w:spacing w:line="260" w:lineRule="exact"/>
              <w:ind w:firstLine="480"/>
              <w:jc w:val="center"/>
              <w:rPr>
                <w:rFonts w:ascii="宋体" w:hAnsi="宋体"/>
                <w:color w:val="auto"/>
                <w:highlight w:val="none"/>
              </w:rPr>
            </w:pPr>
          </w:p>
        </w:tc>
        <w:tc>
          <w:tcPr>
            <w:tcW w:w="1037" w:type="dxa"/>
            <w:vAlign w:val="center"/>
          </w:tcPr>
          <w:p w14:paraId="21807D94">
            <w:pPr>
              <w:spacing w:line="260" w:lineRule="exact"/>
              <w:ind w:firstLine="480"/>
              <w:jc w:val="center"/>
              <w:rPr>
                <w:rFonts w:ascii="宋体" w:hAnsi="宋体"/>
                <w:color w:val="auto"/>
                <w:highlight w:val="none"/>
              </w:rPr>
            </w:pPr>
          </w:p>
        </w:tc>
        <w:tc>
          <w:tcPr>
            <w:tcW w:w="4378" w:type="dxa"/>
            <w:vAlign w:val="center"/>
          </w:tcPr>
          <w:p w14:paraId="155CDD78">
            <w:pPr>
              <w:spacing w:line="260" w:lineRule="exact"/>
              <w:ind w:firstLine="480"/>
              <w:jc w:val="center"/>
              <w:rPr>
                <w:rFonts w:ascii="宋体" w:hAnsi="宋体"/>
                <w:color w:val="auto"/>
                <w:highlight w:val="none"/>
              </w:rPr>
            </w:pPr>
          </w:p>
        </w:tc>
        <w:tc>
          <w:tcPr>
            <w:tcW w:w="840" w:type="dxa"/>
            <w:vAlign w:val="center"/>
          </w:tcPr>
          <w:p w14:paraId="46B7618A">
            <w:pPr>
              <w:spacing w:line="260" w:lineRule="exact"/>
              <w:ind w:firstLine="480"/>
              <w:jc w:val="center"/>
              <w:rPr>
                <w:rFonts w:ascii="宋体" w:hAnsi="宋体"/>
                <w:color w:val="auto"/>
                <w:highlight w:val="none"/>
              </w:rPr>
            </w:pPr>
          </w:p>
        </w:tc>
        <w:tc>
          <w:tcPr>
            <w:tcW w:w="897" w:type="dxa"/>
          </w:tcPr>
          <w:p w14:paraId="0AC89CF7">
            <w:pPr>
              <w:spacing w:line="260" w:lineRule="exact"/>
              <w:ind w:firstLine="480"/>
              <w:jc w:val="center"/>
              <w:rPr>
                <w:rFonts w:ascii="宋体" w:hAnsi="宋体"/>
                <w:color w:val="auto"/>
                <w:highlight w:val="none"/>
              </w:rPr>
            </w:pPr>
          </w:p>
        </w:tc>
        <w:tc>
          <w:tcPr>
            <w:tcW w:w="1104" w:type="dxa"/>
          </w:tcPr>
          <w:p w14:paraId="056847A1">
            <w:pPr>
              <w:spacing w:line="260" w:lineRule="exact"/>
              <w:ind w:firstLine="480"/>
              <w:jc w:val="center"/>
              <w:rPr>
                <w:rFonts w:ascii="宋体" w:hAnsi="宋体"/>
                <w:color w:val="auto"/>
                <w:highlight w:val="none"/>
              </w:rPr>
            </w:pPr>
          </w:p>
        </w:tc>
      </w:tr>
      <w:tr w14:paraId="7B861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0FB1B71F">
            <w:pPr>
              <w:spacing w:line="260" w:lineRule="exact"/>
              <w:ind w:firstLine="480"/>
              <w:jc w:val="center"/>
              <w:rPr>
                <w:rFonts w:ascii="宋体" w:hAnsi="宋体"/>
                <w:color w:val="auto"/>
                <w:highlight w:val="none"/>
              </w:rPr>
            </w:pPr>
          </w:p>
        </w:tc>
        <w:tc>
          <w:tcPr>
            <w:tcW w:w="1037" w:type="dxa"/>
            <w:vAlign w:val="center"/>
          </w:tcPr>
          <w:p w14:paraId="7CA5C5B2">
            <w:pPr>
              <w:spacing w:line="260" w:lineRule="exact"/>
              <w:ind w:firstLine="480"/>
              <w:jc w:val="center"/>
              <w:rPr>
                <w:rFonts w:ascii="宋体" w:hAnsi="宋体"/>
                <w:color w:val="auto"/>
                <w:highlight w:val="none"/>
              </w:rPr>
            </w:pPr>
          </w:p>
        </w:tc>
        <w:tc>
          <w:tcPr>
            <w:tcW w:w="4378" w:type="dxa"/>
            <w:vAlign w:val="center"/>
          </w:tcPr>
          <w:p w14:paraId="6D891E07">
            <w:pPr>
              <w:spacing w:line="260" w:lineRule="exact"/>
              <w:ind w:firstLine="480"/>
              <w:jc w:val="center"/>
              <w:rPr>
                <w:rFonts w:ascii="宋体" w:hAnsi="宋体"/>
                <w:color w:val="auto"/>
                <w:highlight w:val="none"/>
              </w:rPr>
            </w:pPr>
          </w:p>
        </w:tc>
        <w:tc>
          <w:tcPr>
            <w:tcW w:w="840" w:type="dxa"/>
            <w:vAlign w:val="center"/>
          </w:tcPr>
          <w:p w14:paraId="58829F51">
            <w:pPr>
              <w:spacing w:line="260" w:lineRule="exact"/>
              <w:ind w:firstLine="480"/>
              <w:jc w:val="center"/>
              <w:rPr>
                <w:rFonts w:ascii="宋体" w:hAnsi="宋体"/>
                <w:color w:val="auto"/>
                <w:highlight w:val="none"/>
              </w:rPr>
            </w:pPr>
          </w:p>
        </w:tc>
        <w:tc>
          <w:tcPr>
            <w:tcW w:w="897" w:type="dxa"/>
          </w:tcPr>
          <w:p w14:paraId="20151462">
            <w:pPr>
              <w:spacing w:line="260" w:lineRule="exact"/>
              <w:ind w:firstLine="480"/>
              <w:jc w:val="center"/>
              <w:rPr>
                <w:rFonts w:ascii="宋体" w:hAnsi="宋体"/>
                <w:color w:val="auto"/>
                <w:highlight w:val="none"/>
              </w:rPr>
            </w:pPr>
          </w:p>
        </w:tc>
        <w:tc>
          <w:tcPr>
            <w:tcW w:w="1104" w:type="dxa"/>
          </w:tcPr>
          <w:p w14:paraId="4B943098">
            <w:pPr>
              <w:spacing w:line="260" w:lineRule="exact"/>
              <w:ind w:firstLine="480"/>
              <w:jc w:val="center"/>
              <w:rPr>
                <w:rFonts w:ascii="宋体" w:hAnsi="宋体"/>
                <w:color w:val="auto"/>
                <w:highlight w:val="none"/>
              </w:rPr>
            </w:pPr>
          </w:p>
        </w:tc>
      </w:tr>
      <w:tr w14:paraId="7E1106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7" w:hRule="atLeast"/>
          <w:jc w:val="center"/>
        </w:trPr>
        <w:tc>
          <w:tcPr>
            <w:tcW w:w="541" w:type="dxa"/>
            <w:vAlign w:val="center"/>
          </w:tcPr>
          <w:p w14:paraId="5A0FEB48">
            <w:pPr>
              <w:spacing w:line="260" w:lineRule="exact"/>
              <w:ind w:firstLine="480"/>
              <w:jc w:val="center"/>
              <w:rPr>
                <w:rFonts w:ascii="宋体" w:hAnsi="宋体"/>
                <w:color w:val="auto"/>
                <w:highlight w:val="none"/>
              </w:rPr>
            </w:pPr>
          </w:p>
        </w:tc>
        <w:tc>
          <w:tcPr>
            <w:tcW w:w="1037" w:type="dxa"/>
            <w:vAlign w:val="center"/>
          </w:tcPr>
          <w:p w14:paraId="3537A24C">
            <w:pPr>
              <w:spacing w:line="260" w:lineRule="exact"/>
              <w:ind w:firstLine="480"/>
              <w:jc w:val="center"/>
              <w:rPr>
                <w:rFonts w:ascii="宋体" w:hAnsi="宋体"/>
                <w:color w:val="auto"/>
                <w:highlight w:val="none"/>
              </w:rPr>
            </w:pPr>
          </w:p>
        </w:tc>
        <w:tc>
          <w:tcPr>
            <w:tcW w:w="4378" w:type="dxa"/>
            <w:vAlign w:val="center"/>
          </w:tcPr>
          <w:p w14:paraId="4BBB3CA8">
            <w:pPr>
              <w:spacing w:line="260" w:lineRule="exact"/>
              <w:ind w:firstLine="480"/>
              <w:jc w:val="center"/>
              <w:rPr>
                <w:rFonts w:ascii="宋体" w:hAnsi="宋体"/>
                <w:color w:val="auto"/>
                <w:highlight w:val="none"/>
              </w:rPr>
            </w:pPr>
          </w:p>
        </w:tc>
        <w:tc>
          <w:tcPr>
            <w:tcW w:w="840" w:type="dxa"/>
            <w:vAlign w:val="center"/>
          </w:tcPr>
          <w:p w14:paraId="1E9D05C3">
            <w:pPr>
              <w:spacing w:line="260" w:lineRule="exact"/>
              <w:ind w:firstLine="480"/>
              <w:jc w:val="center"/>
              <w:rPr>
                <w:rFonts w:ascii="宋体" w:hAnsi="宋体"/>
                <w:color w:val="auto"/>
                <w:highlight w:val="none"/>
              </w:rPr>
            </w:pPr>
          </w:p>
        </w:tc>
        <w:tc>
          <w:tcPr>
            <w:tcW w:w="897" w:type="dxa"/>
          </w:tcPr>
          <w:p w14:paraId="5FCC863D">
            <w:pPr>
              <w:spacing w:line="260" w:lineRule="exact"/>
              <w:ind w:firstLine="480"/>
              <w:jc w:val="center"/>
              <w:rPr>
                <w:rFonts w:ascii="宋体" w:hAnsi="宋体"/>
                <w:color w:val="auto"/>
                <w:highlight w:val="none"/>
              </w:rPr>
            </w:pPr>
          </w:p>
        </w:tc>
        <w:tc>
          <w:tcPr>
            <w:tcW w:w="1104" w:type="dxa"/>
          </w:tcPr>
          <w:p w14:paraId="7E66FE7A">
            <w:pPr>
              <w:spacing w:line="260" w:lineRule="exact"/>
              <w:ind w:firstLine="480"/>
              <w:jc w:val="center"/>
              <w:rPr>
                <w:rFonts w:ascii="宋体" w:hAnsi="宋体"/>
                <w:color w:val="auto"/>
                <w:highlight w:val="none"/>
              </w:rPr>
            </w:pPr>
          </w:p>
        </w:tc>
      </w:tr>
      <w:tr w14:paraId="799A6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4" w:hRule="atLeast"/>
          <w:jc w:val="center"/>
        </w:trPr>
        <w:tc>
          <w:tcPr>
            <w:tcW w:w="541" w:type="dxa"/>
            <w:vAlign w:val="center"/>
          </w:tcPr>
          <w:p w14:paraId="60EE973F">
            <w:pPr>
              <w:spacing w:line="260" w:lineRule="exact"/>
              <w:ind w:firstLine="480"/>
              <w:jc w:val="center"/>
              <w:rPr>
                <w:rFonts w:ascii="宋体" w:hAnsi="宋体"/>
                <w:color w:val="auto"/>
                <w:highlight w:val="none"/>
              </w:rPr>
            </w:pPr>
          </w:p>
        </w:tc>
        <w:tc>
          <w:tcPr>
            <w:tcW w:w="1037" w:type="dxa"/>
            <w:vAlign w:val="center"/>
          </w:tcPr>
          <w:p w14:paraId="54ED2DDA">
            <w:pPr>
              <w:spacing w:line="260" w:lineRule="exact"/>
              <w:ind w:firstLine="0" w:firstLineChars="0"/>
              <w:rPr>
                <w:rFonts w:ascii="宋体" w:hAnsi="宋体"/>
                <w:color w:val="auto"/>
                <w:highlight w:val="none"/>
              </w:rPr>
            </w:pPr>
            <w:r>
              <w:rPr>
                <w:rFonts w:hint="eastAsia" w:ascii="宋体" w:hAnsi="宋体"/>
                <w:color w:val="auto"/>
                <w:highlight w:val="none"/>
              </w:rPr>
              <w:t>...</w:t>
            </w:r>
          </w:p>
        </w:tc>
        <w:tc>
          <w:tcPr>
            <w:tcW w:w="4378" w:type="dxa"/>
            <w:tcBorders>
              <w:bottom w:val="single" w:color="auto" w:sz="4" w:space="0"/>
            </w:tcBorders>
            <w:vAlign w:val="center"/>
          </w:tcPr>
          <w:p w14:paraId="7F251167">
            <w:pPr>
              <w:spacing w:line="260" w:lineRule="exact"/>
              <w:ind w:firstLine="480"/>
              <w:jc w:val="center"/>
              <w:rPr>
                <w:rFonts w:ascii="宋体" w:hAnsi="宋体"/>
                <w:color w:val="auto"/>
                <w:highlight w:val="none"/>
              </w:rPr>
            </w:pPr>
            <w:r>
              <w:rPr>
                <w:rFonts w:hint="eastAsia" w:ascii="宋体" w:hAnsi="宋体"/>
                <w:color w:val="auto"/>
                <w:highlight w:val="none"/>
              </w:rPr>
              <w:t>...</w:t>
            </w:r>
          </w:p>
        </w:tc>
        <w:tc>
          <w:tcPr>
            <w:tcW w:w="840" w:type="dxa"/>
            <w:tcBorders>
              <w:bottom w:val="single" w:color="auto" w:sz="4" w:space="0"/>
            </w:tcBorders>
            <w:vAlign w:val="center"/>
          </w:tcPr>
          <w:p w14:paraId="4373A00C">
            <w:pPr>
              <w:spacing w:line="260" w:lineRule="exact"/>
              <w:ind w:firstLine="0" w:firstLineChars="0"/>
              <w:jc w:val="center"/>
              <w:rPr>
                <w:rFonts w:ascii="宋体" w:hAnsi="宋体"/>
                <w:color w:val="auto"/>
                <w:highlight w:val="none"/>
              </w:rPr>
            </w:pPr>
            <w:r>
              <w:rPr>
                <w:rFonts w:hint="eastAsia" w:ascii="宋体" w:hAnsi="宋体"/>
                <w:color w:val="auto"/>
                <w:highlight w:val="none"/>
              </w:rPr>
              <w:t>...</w:t>
            </w:r>
          </w:p>
        </w:tc>
        <w:tc>
          <w:tcPr>
            <w:tcW w:w="897" w:type="dxa"/>
            <w:tcBorders>
              <w:bottom w:val="single" w:color="auto" w:sz="4" w:space="0"/>
            </w:tcBorders>
            <w:vAlign w:val="center"/>
          </w:tcPr>
          <w:p w14:paraId="34F89AAA">
            <w:pPr>
              <w:spacing w:line="260" w:lineRule="exact"/>
              <w:ind w:firstLine="0" w:firstLineChars="0"/>
              <w:rPr>
                <w:rFonts w:ascii="宋体" w:hAnsi="宋体"/>
                <w:color w:val="auto"/>
                <w:highlight w:val="none"/>
              </w:rPr>
            </w:pPr>
            <w:r>
              <w:rPr>
                <w:rFonts w:hint="eastAsia" w:ascii="宋体" w:hAnsi="宋体"/>
                <w:color w:val="auto"/>
                <w:highlight w:val="none"/>
              </w:rPr>
              <w:t>...</w:t>
            </w:r>
          </w:p>
        </w:tc>
        <w:tc>
          <w:tcPr>
            <w:tcW w:w="1104" w:type="dxa"/>
            <w:tcBorders>
              <w:bottom w:val="single" w:color="auto" w:sz="4" w:space="0"/>
            </w:tcBorders>
            <w:vAlign w:val="center"/>
          </w:tcPr>
          <w:p w14:paraId="09C99E11">
            <w:pPr>
              <w:spacing w:line="260" w:lineRule="exact"/>
              <w:ind w:firstLine="480"/>
              <w:jc w:val="center"/>
              <w:rPr>
                <w:rFonts w:ascii="宋体" w:hAnsi="宋体"/>
                <w:color w:val="auto"/>
                <w:highlight w:val="none"/>
              </w:rPr>
            </w:pPr>
            <w:r>
              <w:rPr>
                <w:rFonts w:hint="eastAsia" w:ascii="宋体" w:hAnsi="宋体"/>
                <w:color w:val="auto"/>
                <w:highlight w:val="none"/>
              </w:rPr>
              <w:t>...</w:t>
            </w:r>
          </w:p>
        </w:tc>
      </w:tr>
    </w:tbl>
    <w:p w14:paraId="07C38E1D">
      <w:pPr>
        <w:spacing w:line="360" w:lineRule="auto"/>
        <w:ind w:firstLine="643"/>
        <w:rPr>
          <w:rFonts w:ascii="宋体" w:hAnsi="宋体" w:cs="宋体"/>
          <w:b/>
          <w:bCs/>
          <w:color w:val="auto"/>
          <w:sz w:val="32"/>
          <w:szCs w:val="20"/>
          <w:highlight w:val="none"/>
        </w:rPr>
      </w:pPr>
    </w:p>
    <w:p w14:paraId="5714D500">
      <w:pPr>
        <w:pStyle w:val="12"/>
        <w:ind w:firstLine="643"/>
        <w:rPr>
          <w:rFonts w:ascii="宋体" w:hAnsi="宋体" w:cs="宋体"/>
          <w:b/>
          <w:bCs/>
          <w:color w:val="auto"/>
          <w:sz w:val="32"/>
          <w:szCs w:val="20"/>
          <w:highlight w:val="none"/>
        </w:rPr>
      </w:pPr>
    </w:p>
    <w:p w14:paraId="0C858ACA">
      <w:pPr>
        <w:ind w:firstLine="643"/>
        <w:rPr>
          <w:rFonts w:ascii="宋体" w:hAnsi="宋体" w:cs="宋体"/>
          <w:b/>
          <w:bCs/>
          <w:color w:val="auto"/>
          <w:sz w:val="32"/>
          <w:szCs w:val="20"/>
          <w:highlight w:val="none"/>
        </w:rPr>
      </w:pPr>
    </w:p>
    <w:p w14:paraId="2A2E74C0">
      <w:pPr>
        <w:pStyle w:val="12"/>
        <w:ind w:firstLine="643"/>
        <w:rPr>
          <w:rFonts w:ascii="宋体" w:hAnsi="宋体" w:cs="宋体"/>
          <w:b/>
          <w:bCs/>
          <w:color w:val="auto"/>
          <w:sz w:val="32"/>
          <w:szCs w:val="20"/>
          <w:highlight w:val="none"/>
        </w:rPr>
      </w:pPr>
    </w:p>
    <w:p w14:paraId="0F6A5618">
      <w:pPr>
        <w:ind w:firstLine="643"/>
        <w:rPr>
          <w:rFonts w:ascii="宋体" w:hAnsi="宋体" w:cs="宋体"/>
          <w:b/>
          <w:bCs/>
          <w:color w:val="auto"/>
          <w:sz w:val="32"/>
          <w:szCs w:val="20"/>
          <w:highlight w:val="none"/>
        </w:rPr>
      </w:pPr>
    </w:p>
    <w:p w14:paraId="3AC7E94E">
      <w:pPr>
        <w:pStyle w:val="12"/>
        <w:ind w:firstLine="643"/>
        <w:rPr>
          <w:rFonts w:ascii="宋体" w:hAnsi="宋体" w:cs="宋体"/>
          <w:b/>
          <w:bCs/>
          <w:color w:val="auto"/>
          <w:sz w:val="32"/>
          <w:szCs w:val="20"/>
          <w:highlight w:val="none"/>
        </w:rPr>
      </w:pPr>
    </w:p>
    <w:p w14:paraId="77B961DB">
      <w:pPr>
        <w:ind w:firstLine="480"/>
        <w:rPr>
          <w:color w:val="auto"/>
          <w:highlight w:val="none"/>
        </w:rPr>
      </w:pPr>
    </w:p>
    <w:p w14:paraId="3AB6ADAF">
      <w:pPr>
        <w:ind w:firstLine="0" w:firstLineChars="0"/>
        <w:rPr>
          <w:color w:val="auto"/>
          <w:highlight w:val="none"/>
        </w:rPr>
      </w:pPr>
    </w:p>
    <w:p w14:paraId="37E81411">
      <w:pPr>
        <w:ind w:firstLine="0" w:firstLineChars="0"/>
        <w:outlineLvl w:val="0"/>
        <w:rPr>
          <w:rFonts w:ascii="宋体" w:hAnsi="宋体" w:cs="宋体"/>
          <w:b/>
          <w:color w:val="auto"/>
          <w:highlight w:val="none"/>
        </w:rPr>
      </w:pPr>
      <w:bookmarkStart w:id="308" w:name="_Toc25138"/>
      <w:bookmarkStart w:id="309" w:name="_Toc5033"/>
      <w:r>
        <w:rPr>
          <w:rFonts w:hint="eastAsia" w:ascii="宋体" w:hAnsi="宋体" w:cs="宋体"/>
          <w:b/>
          <w:color w:val="auto"/>
          <w:highlight w:val="none"/>
        </w:rPr>
        <w:t>一、法定代表人资格证明书及授权委托书格式</w:t>
      </w:r>
      <w:bookmarkEnd w:id="308"/>
      <w:bookmarkEnd w:id="309"/>
    </w:p>
    <w:p w14:paraId="40A3FCCA">
      <w:pPr>
        <w:ind w:firstLine="0" w:firstLineChars="0"/>
        <w:rPr>
          <w:rFonts w:ascii="宋体" w:hAnsi="宋体" w:cs="宋体"/>
          <w:b/>
          <w:color w:val="auto"/>
          <w:highlight w:val="none"/>
        </w:rPr>
      </w:pPr>
    </w:p>
    <w:p w14:paraId="71799695">
      <w:pPr>
        <w:ind w:firstLine="480"/>
        <w:rPr>
          <w:rFonts w:ascii="宋体" w:hAnsi="宋体" w:cs="宋体"/>
          <w:color w:val="auto"/>
          <w:highlight w:val="none"/>
        </w:rPr>
      </w:pPr>
    </w:p>
    <w:p w14:paraId="60670C74">
      <w:pPr>
        <w:pStyle w:val="19"/>
        <w:adjustRightInd w:val="0"/>
        <w:snapToGrid w:val="0"/>
        <w:spacing w:line="360" w:lineRule="auto"/>
        <w:ind w:firstLine="643"/>
        <w:jc w:val="center"/>
        <w:outlineLvl w:val="1"/>
        <w:rPr>
          <w:rFonts w:hAnsi="宋体"/>
          <w:b/>
          <w:bCs/>
          <w:color w:val="auto"/>
          <w:sz w:val="32"/>
          <w:highlight w:val="none"/>
        </w:rPr>
      </w:pPr>
      <w:bookmarkStart w:id="310" w:name="_Toc5865"/>
      <w:r>
        <w:rPr>
          <w:rFonts w:hint="eastAsia" w:hAnsi="宋体"/>
          <w:b/>
          <w:bCs/>
          <w:color w:val="auto"/>
          <w:sz w:val="32"/>
          <w:highlight w:val="none"/>
        </w:rPr>
        <w:t>（1-1）法定代表人资格证明书</w:t>
      </w:r>
      <w:bookmarkEnd w:id="310"/>
    </w:p>
    <w:p w14:paraId="1AAF43DE">
      <w:pPr>
        <w:pStyle w:val="19"/>
        <w:adjustRightInd w:val="0"/>
        <w:spacing w:line="360" w:lineRule="auto"/>
        <w:ind w:firstLine="480" w:firstLineChars="229"/>
        <w:rPr>
          <w:rFonts w:hAnsi="宋体"/>
          <w:color w:val="auto"/>
          <w:highlight w:val="none"/>
          <w:u w:val="single"/>
        </w:rPr>
      </w:pPr>
      <w:r>
        <w:rPr>
          <w:rFonts w:hint="eastAsia" w:ascii="Arial" w:hAnsi="Arial" w:cs="Arial"/>
          <w:color w:val="auto"/>
          <w:highlight w:val="none"/>
          <w:u w:val="single"/>
          <w:lang w:eastAsia="zh-CN"/>
        </w:rPr>
        <w:t>龙游华水水业发展有限公司</w:t>
      </w:r>
      <w:r>
        <w:rPr>
          <w:rFonts w:hint="eastAsia" w:hAnsi="宋体"/>
          <w:color w:val="auto"/>
          <w:highlight w:val="none"/>
          <w:u w:val="single"/>
        </w:rPr>
        <w:t>：</w:t>
      </w:r>
    </w:p>
    <w:p w14:paraId="3D6DB4F5">
      <w:pPr>
        <w:pStyle w:val="19"/>
        <w:adjustRightInd w:val="0"/>
        <w:spacing w:line="360" w:lineRule="auto"/>
        <w:ind w:firstLine="420"/>
        <w:rPr>
          <w:rFonts w:hAnsi="宋体"/>
          <w:color w:val="auto"/>
          <w:highlight w:val="none"/>
          <w:u w:val="single"/>
        </w:rPr>
      </w:pPr>
      <w:r>
        <w:rPr>
          <w:rFonts w:hint="eastAsia" w:hAnsi="宋体"/>
          <w:color w:val="auto"/>
          <w:highlight w:val="none"/>
          <w:u w:val="single"/>
        </w:rPr>
        <w:t>泰宇建筑工程技术咨询有限公司：</w:t>
      </w:r>
    </w:p>
    <w:p w14:paraId="5FD9E512">
      <w:pPr>
        <w:pStyle w:val="19"/>
        <w:adjustRightInd w:val="0"/>
        <w:spacing w:line="360" w:lineRule="auto"/>
        <w:ind w:firstLine="420"/>
        <w:rPr>
          <w:rFonts w:hAnsi="宋体"/>
          <w:color w:val="auto"/>
          <w:highlight w:val="none"/>
        </w:rPr>
      </w:pPr>
    </w:p>
    <w:p w14:paraId="38609814">
      <w:pPr>
        <w:pStyle w:val="10"/>
        <w:adjustRightInd w:val="0"/>
        <w:spacing w:line="360" w:lineRule="auto"/>
        <w:ind w:left="480" w:firstLine="420"/>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u w:val="single"/>
        </w:rPr>
        <w:t>（姓名）</w:t>
      </w:r>
      <w:r>
        <w:rPr>
          <w:rFonts w:hint="eastAsia" w:asciiTheme="majorEastAsia" w:hAnsiTheme="majorEastAsia" w:eastAsiaTheme="majorEastAsia" w:cstheme="majorEastAsia"/>
          <w:snapToGrid w:val="0"/>
          <w:color w:val="auto"/>
          <w:sz w:val="21"/>
          <w:szCs w:val="21"/>
          <w:highlight w:val="none"/>
        </w:rPr>
        <w:t>系</w:t>
      </w:r>
      <w:r>
        <w:rPr>
          <w:rFonts w:hint="eastAsia" w:asciiTheme="majorEastAsia" w:hAnsiTheme="majorEastAsia" w:eastAsiaTheme="majorEastAsia" w:cstheme="majorEastAsia"/>
          <w:snapToGrid w:val="0"/>
          <w:color w:val="auto"/>
          <w:sz w:val="21"/>
          <w:szCs w:val="21"/>
          <w:highlight w:val="none"/>
          <w:u w:val="single"/>
        </w:rPr>
        <w:t>（单位名称）</w:t>
      </w:r>
      <w:r>
        <w:rPr>
          <w:rFonts w:hint="eastAsia" w:asciiTheme="majorEastAsia" w:hAnsiTheme="majorEastAsia" w:eastAsiaTheme="majorEastAsia" w:cstheme="majorEastAsia"/>
          <w:snapToGrid w:val="0"/>
          <w:color w:val="auto"/>
          <w:sz w:val="21"/>
          <w:szCs w:val="21"/>
          <w:highlight w:val="none"/>
        </w:rPr>
        <w:t>的法定代表人，</w:t>
      </w:r>
      <w:r>
        <w:rPr>
          <w:rFonts w:hint="eastAsia" w:asciiTheme="majorEastAsia" w:hAnsiTheme="majorEastAsia" w:eastAsiaTheme="majorEastAsia" w:cstheme="majorEastAsia"/>
          <w:snapToGrid w:val="0"/>
          <w:color w:val="auto"/>
          <w:sz w:val="21"/>
          <w:szCs w:val="21"/>
          <w:highlight w:val="none"/>
          <w:u w:val="single"/>
        </w:rPr>
        <w:t>（身份证号）</w:t>
      </w:r>
      <w:r>
        <w:rPr>
          <w:rFonts w:hint="eastAsia" w:asciiTheme="majorEastAsia" w:hAnsiTheme="majorEastAsia" w:eastAsiaTheme="majorEastAsia" w:cstheme="majorEastAsia"/>
          <w:snapToGrid w:val="0"/>
          <w:color w:val="auto"/>
          <w:sz w:val="21"/>
          <w:szCs w:val="21"/>
          <w:highlight w:val="none"/>
        </w:rPr>
        <w:t>。</w:t>
      </w:r>
    </w:p>
    <w:p w14:paraId="5E79F9BD">
      <w:pPr>
        <w:pStyle w:val="10"/>
        <w:adjustRightInd w:val="0"/>
        <w:spacing w:line="360" w:lineRule="auto"/>
        <w:ind w:left="480" w:firstLine="420"/>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特此证明。</w:t>
      </w:r>
    </w:p>
    <w:p w14:paraId="6D542A68">
      <w:pPr>
        <w:pStyle w:val="10"/>
        <w:adjustRightInd w:val="0"/>
        <w:spacing w:line="360" w:lineRule="auto"/>
        <w:ind w:left="0" w:leftChars="0" w:firstLine="420"/>
        <w:rPr>
          <w:rFonts w:asciiTheme="majorEastAsia" w:hAnsiTheme="majorEastAsia" w:eastAsiaTheme="majorEastAsia" w:cstheme="majorEastAsia"/>
          <w:bCs/>
          <w:snapToGrid w:val="0"/>
          <w:color w:val="auto"/>
          <w:kern w:val="0"/>
          <w:sz w:val="21"/>
          <w:szCs w:val="21"/>
          <w:highlight w:val="none"/>
        </w:rPr>
      </w:pPr>
      <w:r>
        <w:rPr>
          <w:rFonts w:hint="eastAsia" w:asciiTheme="majorEastAsia" w:hAnsiTheme="majorEastAsia" w:eastAsiaTheme="majorEastAsia" w:cstheme="majorEastAsia"/>
          <w:bCs/>
          <w:snapToGrid w:val="0"/>
          <w:color w:val="auto"/>
          <w:kern w:val="0"/>
          <w:sz w:val="21"/>
          <w:szCs w:val="21"/>
          <w:highlight w:val="none"/>
        </w:rPr>
        <w:t>投标人全称：（盖单位公章）</w:t>
      </w:r>
    </w:p>
    <w:p w14:paraId="16CDB2F5">
      <w:pPr>
        <w:adjustRightInd w:val="0"/>
        <w:snapToGrid w:val="0"/>
        <w:spacing w:line="360" w:lineRule="auto"/>
        <w:ind w:firstLine="420"/>
        <w:rPr>
          <w:rFonts w:asciiTheme="majorEastAsia" w:hAnsiTheme="majorEastAsia" w:eastAsiaTheme="majorEastAsia" w:cstheme="majorEastAsia"/>
          <w:bCs/>
          <w:snapToGrid w:val="0"/>
          <w:color w:val="auto"/>
          <w:kern w:val="0"/>
          <w:sz w:val="21"/>
          <w:szCs w:val="21"/>
          <w:highlight w:val="none"/>
        </w:rPr>
      </w:pPr>
      <w:r>
        <w:rPr>
          <w:rFonts w:hint="eastAsia" w:asciiTheme="majorEastAsia" w:hAnsiTheme="majorEastAsia" w:eastAsiaTheme="majorEastAsia" w:cstheme="majorEastAsia"/>
          <w:bCs/>
          <w:snapToGrid w:val="0"/>
          <w:color w:val="auto"/>
          <w:kern w:val="0"/>
          <w:sz w:val="21"/>
          <w:szCs w:val="21"/>
          <w:highlight w:val="none"/>
        </w:rPr>
        <w:t>日期：年 月 日</w:t>
      </w:r>
    </w:p>
    <w:p w14:paraId="0740A070">
      <w:pPr>
        <w:adjustRightInd w:val="0"/>
        <w:snapToGrid w:val="0"/>
        <w:spacing w:line="360" w:lineRule="auto"/>
        <w:ind w:firstLine="480"/>
        <w:rPr>
          <w:rFonts w:asciiTheme="majorEastAsia" w:hAnsiTheme="majorEastAsia" w:eastAsiaTheme="majorEastAsia" w:cstheme="majorEastAsia"/>
          <w:snapToGrid w:val="0"/>
          <w:color w:val="auto"/>
          <w:kern w:val="0"/>
          <w:szCs w:val="21"/>
          <w:highlight w:val="none"/>
        </w:rPr>
      </w:pPr>
      <w:r>
        <w:rPr>
          <w:rFonts w:hint="eastAsia" w:asciiTheme="majorEastAsia" w:hAnsiTheme="majorEastAsia" w:eastAsiaTheme="majorEastAsia" w:cstheme="majorEastAsia"/>
          <w:snapToGrid w:val="0"/>
          <w:color w:val="auto"/>
          <w:kern w:val="0"/>
          <w:szCs w:val="21"/>
          <w:highlight w:val="none"/>
        </w:rPr>
        <w:t>附：</w:t>
      </w:r>
    </w:p>
    <w:p w14:paraId="0833BAE9">
      <w:pPr>
        <w:adjustRightInd w:val="0"/>
        <w:snapToGrid w:val="0"/>
        <w:spacing w:line="360" w:lineRule="auto"/>
        <w:ind w:firstLine="420"/>
        <w:rPr>
          <w:rFonts w:asciiTheme="majorEastAsia" w:hAnsiTheme="majorEastAsia" w:eastAsiaTheme="majorEastAsia" w:cstheme="majorEastAsia"/>
          <w:snapToGrid w:val="0"/>
          <w:color w:val="auto"/>
          <w:kern w:val="0"/>
          <w:sz w:val="21"/>
          <w:szCs w:val="21"/>
          <w:highlight w:val="none"/>
        </w:rPr>
      </w:pPr>
      <w:r>
        <w:rPr>
          <w:rFonts w:hint="eastAsia" w:asciiTheme="majorEastAsia" w:hAnsiTheme="majorEastAsia" w:eastAsiaTheme="majorEastAsia" w:cstheme="majorEastAsia"/>
          <w:snapToGrid w:val="0"/>
          <w:color w:val="auto"/>
          <w:kern w:val="0"/>
          <w:sz w:val="21"/>
          <w:szCs w:val="21"/>
          <w:highlight w:val="none"/>
        </w:rPr>
        <w:t>法定代表人联系方式及身份证复印件</w:t>
      </w:r>
    </w:p>
    <w:p w14:paraId="473C2683">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注：法定代表人直接签署投标文件并参加投标的，在投标文件中出具此资格证明书及身份证复印件。</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7"/>
        <w:gridCol w:w="4757"/>
      </w:tblGrid>
      <w:tr w14:paraId="39E08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3" w:hRule="atLeast"/>
        </w:trPr>
        <w:tc>
          <w:tcPr>
            <w:tcW w:w="5263" w:type="dxa"/>
          </w:tcPr>
          <w:p w14:paraId="401EF605">
            <w:pPr>
              <w:adjustRightInd w:val="0"/>
              <w:snapToGrid w:val="0"/>
              <w:spacing w:line="360" w:lineRule="auto"/>
              <w:ind w:firstLine="482"/>
              <w:rPr>
                <w:rFonts w:ascii="宋体" w:hAnsi="宋体" w:eastAsia="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身份证复印件正面</w:t>
            </w:r>
          </w:p>
        </w:tc>
        <w:tc>
          <w:tcPr>
            <w:tcW w:w="5263" w:type="dxa"/>
          </w:tcPr>
          <w:p w14:paraId="281E93D8">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身份证复印件反面</w:t>
            </w:r>
          </w:p>
        </w:tc>
      </w:tr>
    </w:tbl>
    <w:p w14:paraId="763E166D">
      <w:pPr>
        <w:adjustRightInd w:val="0"/>
        <w:snapToGrid w:val="0"/>
        <w:spacing w:line="360" w:lineRule="auto"/>
        <w:ind w:firstLine="0" w:firstLineChars="0"/>
        <w:rPr>
          <w:rFonts w:ascii="宋体" w:hAnsi="宋体" w:cs="宋体"/>
          <w:color w:val="auto"/>
          <w:highlight w:val="none"/>
        </w:rPr>
      </w:pPr>
    </w:p>
    <w:p w14:paraId="19E7B134">
      <w:pPr>
        <w:pStyle w:val="47"/>
        <w:ind w:left="960" w:hanging="480"/>
        <w:rPr>
          <w:color w:val="auto"/>
          <w:highlight w:val="none"/>
        </w:rPr>
      </w:pPr>
    </w:p>
    <w:p w14:paraId="6743B88B">
      <w:pPr>
        <w:pStyle w:val="47"/>
        <w:ind w:left="960" w:hanging="480"/>
        <w:rPr>
          <w:color w:val="auto"/>
          <w:highlight w:val="none"/>
        </w:rPr>
      </w:pPr>
    </w:p>
    <w:p w14:paraId="3DE3D8D2">
      <w:pPr>
        <w:pStyle w:val="47"/>
        <w:ind w:left="960" w:hanging="480"/>
        <w:rPr>
          <w:color w:val="auto"/>
          <w:highlight w:val="none"/>
        </w:rPr>
      </w:pPr>
    </w:p>
    <w:p w14:paraId="5766B91B">
      <w:pPr>
        <w:pStyle w:val="47"/>
        <w:ind w:left="960" w:hanging="480"/>
        <w:rPr>
          <w:color w:val="auto"/>
          <w:highlight w:val="none"/>
        </w:rPr>
      </w:pPr>
    </w:p>
    <w:p w14:paraId="39D70122">
      <w:pPr>
        <w:pStyle w:val="19"/>
        <w:adjustRightInd w:val="0"/>
        <w:snapToGrid w:val="0"/>
        <w:spacing w:line="360" w:lineRule="auto"/>
        <w:ind w:firstLine="643"/>
        <w:jc w:val="center"/>
        <w:outlineLvl w:val="1"/>
        <w:rPr>
          <w:rFonts w:hAnsi="宋体"/>
          <w:b/>
          <w:bCs/>
          <w:color w:val="auto"/>
          <w:sz w:val="32"/>
          <w:highlight w:val="none"/>
        </w:rPr>
      </w:pPr>
      <w:bookmarkStart w:id="311" w:name="_Toc3010"/>
      <w:r>
        <w:rPr>
          <w:rFonts w:hint="eastAsia" w:hAnsi="宋体"/>
          <w:b/>
          <w:bCs/>
          <w:color w:val="auto"/>
          <w:sz w:val="32"/>
          <w:highlight w:val="none"/>
        </w:rPr>
        <w:t>（1-2）法定代表人授权委托书</w:t>
      </w:r>
      <w:bookmarkEnd w:id="311"/>
    </w:p>
    <w:p w14:paraId="5B946A86">
      <w:pPr>
        <w:pStyle w:val="19"/>
        <w:adjustRightInd w:val="0"/>
        <w:spacing w:line="480" w:lineRule="auto"/>
        <w:ind w:firstLine="420"/>
        <w:rPr>
          <w:rFonts w:hAnsi="宋体"/>
          <w:color w:val="auto"/>
          <w:highlight w:val="none"/>
          <w:u w:val="single"/>
        </w:rPr>
      </w:pPr>
      <w:r>
        <w:rPr>
          <w:rFonts w:hint="eastAsia" w:ascii="Arial" w:hAnsi="Arial" w:cs="Arial"/>
          <w:color w:val="auto"/>
          <w:highlight w:val="none"/>
          <w:u w:val="single"/>
          <w:lang w:eastAsia="zh-CN"/>
        </w:rPr>
        <w:t>龙游华水水业发展有限公司</w:t>
      </w:r>
      <w:r>
        <w:rPr>
          <w:rFonts w:hint="eastAsia" w:hAnsi="宋体"/>
          <w:color w:val="auto"/>
          <w:highlight w:val="none"/>
          <w:u w:val="single"/>
        </w:rPr>
        <w:t>：</w:t>
      </w:r>
    </w:p>
    <w:p w14:paraId="08944ABB">
      <w:pPr>
        <w:pStyle w:val="19"/>
        <w:adjustRightInd w:val="0"/>
        <w:spacing w:line="480" w:lineRule="auto"/>
        <w:ind w:firstLine="420"/>
        <w:rPr>
          <w:rFonts w:hAnsi="宋体"/>
          <w:color w:val="auto"/>
          <w:highlight w:val="none"/>
          <w:u w:val="single"/>
        </w:rPr>
      </w:pPr>
      <w:r>
        <w:rPr>
          <w:rFonts w:hint="eastAsia" w:hAnsi="宋体"/>
          <w:color w:val="auto"/>
          <w:highlight w:val="none"/>
          <w:u w:val="single"/>
        </w:rPr>
        <w:t>泰宇建筑工程技术咨询有限公司：</w:t>
      </w:r>
    </w:p>
    <w:p w14:paraId="214C7931">
      <w:pPr>
        <w:pStyle w:val="19"/>
        <w:spacing w:line="480" w:lineRule="auto"/>
        <w:ind w:firstLine="420"/>
        <w:rPr>
          <w:rFonts w:hAnsi="宋体"/>
          <w:color w:val="auto"/>
          <w:highlight w:val="none"/>
        </w:rPr>
      </w:pPr>
      <w:r>
        <w:rPr>
          <w:rFonts w:hint="eastAsia" w:hAnsi="宋体"/>
          <w:color w:val="auto"/>
          <w:highlight w:val="none"/>
        </w:rPr>
        <w:t>我以</w:t>
      </w:r>
      <w:r>
        <w:rPr>
          <w:rFonts w:hint="eastAsia" w:hAnsi="宋体"/>
          <w:color w:val="auto"/>
          <w:highlight w:val="none"/>
          <w:u w:val="single"/>
        </w:rPr>
        <w:t>（投标人全称）</w:t>
      </w:r>
      <w:r>
        <w:rPr>
          <w:rFonts w:hint="eastAsia" w:hAnsi="宋体"/>
          <w:color w:val="auto"/>
          <w:highlight w:val="none"/>
        </w:rPr>
        <w:t>法定代表人的身份授权</w:t>
      </w:r>
      <w:r>
        <w:rPr>
          <w:rFonts w:hint="eastAsia" w:hAnsi="宋体"/>
          <w:color w:val="auto"/>
          <w:highlight w:val="none"/>
          <w:u w:val="single"/>
        </w:rPr>
        <w:t>（全权代表姓名）</w:t>
      </w:r>
      <w:r>
        <w:rPr>
          <w:rFonts w:hint="eastAsia" w:hAnsi="宋体"/>
          <w:color w:val="auto"/>
          <w:highlight w:val="none"/>
        </w:rPr>
        <w:t>、</w:t>
      </w:r>
      <w:r>
        <w:rPr>
          <w:rFonts w:hint="eastAsia" w:hAnsi="宋体"/>
          <w:color w:val="auto"/>
          <w:highlight w:val="none"/>
          <w:u w:val="single"/>
        </w:rPr>
        <w:t>（身份证号）</w:t>
      </w:r>
      <w:r>
        <w:rPr>
          <w:rFonts w:hint="eastAsia" w:hAnsi="宋体"/>
          <w:color w:val="auto"/>
          <w:highlight w:val="none"/>
        </w:rPr>
        <w:t>，为我单位的全权代表，参加贵处组织的</w:t>
      </w:r>
      <w:r>
        <w:rPr>
          <w:rFonts w:hint="eastAsia" w:hAnsi="宋体"/>
          <w:color w:val="auto"/>
          <w:highlight w:val="none"/>
          <w:u w:val="single"/>
        </w:rPr>
        <w:t>（项目名称）</w:t>
      </w:r>
      <w:r>
        <w:rPr>
          <w:rFonts w:hint="eastAsia" w:hAnsi="宋体"/>
          <w:color w:val="auto"/>
          <w:highlight w:val="none"/>
        </w:rPr>
        <w:t>（</w:t>
      </w:r>
      <w:r>
        <w:rPr>
          <w:rFonts w:hint="eastAsia" w:hAnsi="宋体"/>
          <w:color w:val="auto"/>
          <w:highlight w:val="none"/>
          <w:u w:val="single"/>
        </w:rPr>
        <w:t>项目编号</w:t>
      </w:r>
      <w:r>
        <w:rPr>
          <w:rFonts w:hint="eastAsia" w:hAnsi="宋体"/>
          <w:color w:val="auto"/>
          <w:highlight w:val="none"/>
        </w:rPr>
        <w:t>）的采购，签署本项目相关投标文件并全权处理投标活动中的一切事宜。我单位承认全权代表做出的与本项目招投标活动有关的全部行为。</w:t>
      </w:r>
    </w:p>
    <w:p w14:paraId="60451E01">
      <w:pPr>
        <w:pStyle w:val="19"/>
        <w:spacing w:line="480" w:lineRule="auto"/>
        <w:ind w:firstLine="420"/>
        <w:rPr>
          <w:rFonts w:hAnsi="宋体"/>
          <w:color w:val="auto"/>
          <w:highlight w:val="none"/>
        </w:rPr>
      </w:pPr>
      <w:r>
        <w:rPr>
          <w:rFonts w:hint="eastAsia" w:hAnsi="宋体"/>
          <w:color w:val="auto"/>
          <w:highlight w:val="none"/>
        </w:rPr>
        <w:t>委托期限：</w:t>
      </w:r>
    </w:p>
    <w:p w14:paraId="7F87C7B4">
      <w:pPr>
        <w:ind w:firstLine="480"/>
        <w:rPr>
          <w:color w:val="auto"/>
          <w:highlight w:val="none"/>
        </w:rPr>
      </w:pPr>
    </w:p>
    <w:p w14:paraId="132D2E74">
      <w:pPr>
        <w:pStyle w:val="19"/>
        <w:spacing w:line="360" w:lineRule="auto"/>
        <w:ind w:firstLine="420"/>
        <w:rPr>
          <w:rFonts w:hAnsi="宋体"/>
          <w:bCs/>
          <w:color w:val="auto"/>
          <w:highlight w:val="none"/>
        </w:rPr>
      </w:pPr>
      <w:r>
        <w:rPr>
          <w:rFonts w:hint="eastAsia" w:hAnsi="宋体"/>
          <w:bCs/>
          <w:color w:val="auto"/>
          <w:highlight w:val="none"/>
        </w:rPr>
        <w:t>投标人全称（盖单位公章）：</w:t>
      </w:r>
    </w:p>
    <w:p w14:paraId="57095C7C">
      <w:pPr>
        <w:pStyle w:val="19"/>
        <w:spacing w:line="360" w:lineRule="auto"/>
        <w:ind w:firstLine="420"/>
        <w:rPr>
          <w:rFonts w:hAnsi="宋体"/>
          <w:bCs/>
          <w:color w:val="auto"/>
          <w:highlight w:val="none"/>
        </w:rPr>
      </w:pPr>
      <w:r>
        <w:rPr>
          <w:rFonts w:hint="eastAsia" w:hAnsi="宋体"/>
          <w:bCs/>
          <w:color w:val="auto"/>
          <w:highlight w:val="none"/>
        </w:rPr>
        <w:t>法定代表人（签字或盖章）：</w:t>
      </w:r>
    </w:p>
    <w:p w14:paraId="66A09329">
      <w:pPr>
        <w:pStyle w:val="19"/>
        <w:spacing w:line="360" w:lineRule="auto"/>
        <w:ind w:firstLine="420"/>
        <w:rPr>
          <w:rFonts w:hAnsi="宋体"/>
          <w:bCs/>
          <w:color w:val="auto"/>
          <w:highlight w:val="none"/>
        </w:rPr>
      </w:pPr>
      <w:r>
        <w:rPr>
          <w:rFonts w:hint="eastAsia" w:hAnsi="宋体"/>
          <w:bCs/>
          <w:color w:val="auto"/>
          <w:highlight w:val="none"/>
        </w:rPr>
        <w:t>电话：</w:t>
      </w:r>
    </w:p>
    <w:p w14:paraId="622E002A">
      <w:pPr>
        <w:pStyle w:val="19"/>
        <w:spacing w:line="360" w:lineRule="auto"/>
        <w:ind w:firstLine="420"/>
        <w:rPr>
          <w:rFonts w:hAnsi="宋体"/>
          <w:bCs/>
          <w:color w:val="auto"/>
          <w:highlight w:val="none"/>
        </w:rPr>
      </w:pPr>
      <w:r>
        <w:rPr>
          <w:rFonts w:hint="eastAsia" w:hAnsi="宋体"/>
          <w:bCs/>
          <w:color w:val="auto"/>
          <w:highlight w:val="none"/>
        </w:rPr>
        <w:t>日期：</w:t>
      </w:r>
    </w:p>
    <w:p w14:paraId="7858111B">
      <w:pPr>
        <w:pStyle w:val="19"/>
        <w:spacing w:line="360" w:lineRule="auto"/>
        <w:ind w:firstLine="420"/>
        <w:rPr>
          <w:rFonts w:hAnsi="宋体"/>
          <w:bCs/>
          <w:color w:val="auto"/>
          <w:highlight w:val="none"/>
        </w:rPr>
      </w:pPr>
      <w:r>
        <w:rPr>
          <w:rFonts w:hint="eastAsia" w:hAnsi="宋体"/>
          <w:bCs/>
          <w:color w:val="auto"/>
          <w:highlight w:val="none"/>
        </w:rPr>
        <w:t>附：</w:t>
      </w:r>
    </w:p>
    <w:p w14:paraId="4E510BC2">
      <w:pPr>
        <w:pStyle w:val="19"/>
        <w:spacing w:line="360" w:lineRule="auto"/>
        <w:ind w:firstLine="420"/>
        <w:rPr>
          <w:rFonts w:hAnsi="宋体"/>
          <w:bCs/>
          <w:color w:val="auto"/>
          <w:szCs w:val="24"/>
          <w:highlight w:val="none"/>
        </w:rPr>
      </w:pPr>
      <w:r>
        <w:rPr>
          <w:rFonts w:hint="eastAsia" w:hAnsi="宋体"/>
          <w:bCs/>
          <w:color w:val="auto"/>
          <w:szCs w:val="24"/>
          <w:highlight w:val="none"/>
        </w:rPr>
        <w:t>授权委托人姓名：身份证号码：职务：电话：</w:t>
      </w:r>
    </w:p>
    <w:p w14:paraId="0477164A">
      <w:pPr>
        <w:spacing w:line="360" w:lineRule="auto"/>
        <w:ind w:firstLine="482"/>
        <w:rPr>
          <w:rFonts w:ascii="宋体" w:hAnsi="宋体" w:cs="宋体"/>
          <w:b/>
          <w:color w:val="auto"/>
          <w:highlight w:val="none"/>
        </w:rPr>
      </w:pPr>
      <w:r>
        <w:rPr>
          <w:rFonts w:hint="eastAsia" w:ascii="宋体" w:hAnsi="宋体" w:cs="宋体"/>
          <w:b/>
          <w:color w:val="auto"/>
          <w:highlight w:val="none"/>
        </w:rPr>
        <w:t>授权委托人身份证复印件：</w:t>
      </w:r>
    </w:p>
    <w:p w14:paraId="3C5C44AD">
      <w:pPr>
        <w:spacing w:line="360" w:lineRule="auto"/>
        <w:ind w:firstLine="482"/>
        <w:rPr>
          <w:rFonts w:ascii="宋体" w:hAnsi="宋体" w:cs="宋体"/>
          <w:b/>
          <w:color w:val="auto"/>
          <w:highlight w:val="none"/>
        </w:rPr>
      </w:pPr>
      <w:r>
        <w:rPr>
          <w:rFonts w:hint="eastAsia" w:ascii="宋体" w:hAnsi="宋体" w:cs="宋体"/>
          <w:b/>
          <w:color w:val="auto"/>
          <w:highlight w:val="none"/>
        </w:rPr>
        <w:t>注：法定代表人授权其公司员工签署及参加投标的，在投标文件中同时出具法定代表人资格证明书及此授权书，并附身份证复印件。</w:t>
      </w:r>
    </w:p>
    <w:p w14:paraId="05593209">
      <w:pPr>
        <w:spacing w:line="360" w:lineRule="auto"/>
        <w:ind w:firstLine="482"/>
        <w:rPr>
          <w:rFonts w:ascii="宋体" w:hAnsi="宋体" w:cs="宋体"/>
          <w:b/>
          <w:color w:val="auto"/>
          <w:highlight w:val="none"/>
        </w:rPr>
      </w:pPr>
      <w:r>
        <w:rPr>
          <w:rFonts w:hint="eastAsia" w:ascii="宋体" w:hAnsi="宋体" w:cs="宋体"/>
          <w:b/>
          <w:color w:val="auto"/>
          <w:highlight w:val="none"/>
        </w:rPr>
        <w:t>如参加开标并在开评标过程中签署文件的人员与投标文件签署人不一致，须另行提供授权书。</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7"/>
        <w:gridCol w:w="4757"/>
      </w:tblGrid>
      <w:tr w14:paraId="7A7CC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8" w:hRule="atLeast"/>
        </w:trPr>
        <w:tc>
          <w:tcPr>
            <w:tcW w:w="5263" w:type="dxa"/>
          </w:tcPr>
          <w:p w14:paraId="0BAB2488">
            <w:pPr>
              <w:adjustRightInd w:val="0"/>
              <w:snapToGrid w:val="0"/>
              <w:spacing w:line="360" w:lineRule="auto"/>
              <w:ind w:firstLine="482"/>
              <w:rPr>
                <w:rFonts w:ascii="宋体" w:hAnsi="宋体" w:eastAsia="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身份证复印件正面</w:t>
            </w:r>
          </w:p>
        </w:tc>
        <w:tc>
          <w:tcPr>
            <w:tcW w:w="5263" w:type="dxa"/>
          </w:tcPr>
          <w:p w14:paraId="42DF27FC">
            <w:pPr>
              <w:adjustRightInd w:val="0"/>
              <w:snapToGrid w:val="0"/>
              <w:spacing w:line="360" w:lineRule="auto"/>
              <w:ind w:firstLine="482"/>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身份证复印件反面</w:t>
            </w:r>
          </w:p>
        </w:tc>
      </w:tr>
    </w:tbl>
    <w:p w14:paraId="153A6AE0">
      <w:pPr>
        <w:ind w:firstLine="482"/>
        <w:rPr>
          <w:rFonts w:asciiTheme="majorEastAsia" w:hAnsiTheme="majorEastAsia" w:eastAsiaTheme="majorEastAsia" w:cstheme="majorEastAsia"/>
          <w:b/>
          <w:color w:val="auto"/>
          <w:highlight w:val="none"/>
        </w:rPr>
      </w:pPr>
      <w:r>
        <w:rPr>
          <w:rFonts w:hint="eastAsia" w:ascii="宋体" w:hAnsi="宋体" w:cs="宋体"/>
          <w:b/>
          <w:color w:val="auto"/>
          <w:highlight w:val="none"/>
        </w:rPr>
        <w:br w:type="page"/>
      </w:r>
      <w:bookmarkStart w:id="312" w:name="_Toc32544"/>
      <w:r>
        <w:rPr>
          <w:rFonts w:hint="eastAsia" w:asciiTheme="majorEastAsia" w:hAnsiTheme="majorEastAsia" w:eastAsiaTheme="majorEastAsia" w:cstheme="majorEastAsia"/>
          <w:b/>
          <w:color w:val="auto"/>
          <w:highlight w:val="none"/>
        </w:rPr>
        <w:t>二、</w:t>
      </w:r>
      <w:r>
        <w:rPr>
          <w:rFonts w:hint="eastAsia" w:asciiTheme="majorEastAsia" w:hAnsiTheme="majorEastAsia" w:eastAsiaTheme="majorEastAsia" w:cstheme="majorEastAsia"/>
          <w:color w:val="auto"/>
          <w:highlight w:val="none"/>
        </w:rPr>
        <w:t>廉政承诺书</w:t>
      </w:r>
      <w:bookmarkEnd w:id="312"/>
    </w:p>
    <w:p w14:paraId="416E95F7">
      <w:pPr>
        <w:ind w:firstLine="482"/>
        <w:rPr>
          <w:rFonts w:asciiTheme="majorEastAsia" w:hAnsiTheme="majorEastAsia" w:eastAsiaTheme="majorEastAsia" w:cstheme="majorEastAsia"/>
          <w:b/>
          <w:color w:val="auto"/>
          <w:highlight w:val="none"/>
        </w:rPr>
      </w:pPr>
    </w:p>
    <w:p w14:paraId="66BE5255">
      <w:pPr>
        <w:pStyle w:val="19"/>
        <w:adjustRightInd w:val="0"/>
        <w:snapToGrid w:val="0"/>
        <w:spacing w:line="360" w:lineRule="auto"/>
        <w:ind w:firstLine="562"/>
        <w:jc w:val="center"/>
        <w:rPr>
          <w:rFonts w:asciiTheme="majorEastAsia" w:hAnsiTheme="majorEastAsia" w:eastAsiaTheme="majorEastAsia" w:cstheme="majorEastAsia"/>
          <w:b/>
          <w:bCs/>
          <w:color w:val="auto"/>
          <w:sz w:val="32"/>
          <w:highlight w:val="none"/>
        </w:rPr>
      </w:pPr>
      <w:r>
        <w:rPr>
          <w:rFonts w:hint="eastAsia" w:asciiTheme="majorEastAsia" w:hAnsiTheme="majorEastAsia" w:eastAsiaTheme="majorEastAsia" w:cstheme="majorEastAsia"/>
          <w:b/>
          <w:bCs/>
          <w:color w:val="auto"/>
          <w:sz w:val="28"/>
          <w:szCs w:val="28"/>
          <w:highlight w:val="none"/>
        </w:rPr>
        <w:t>廉政承诺书</w:t>
      </w:r>
    </w:p>
    <w:p w14:paraId="7E3C6C7C">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w:t>
      </w:r>
    </w:p>
    <w:p w14:paraId="3A37341D">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我单位响应</w:t>
      </w:r>
      <w:r>
        <w:rPr>
          <w:rFonts w:hint="eastAsia" w:asciiTheme="majorEastAsia" w:hAnsiTheme="majorEastAsia" w:eastAsiaTheme="majorEastAsia" w:cstheme="majorEastAsia"/>
          <w:color w:val="auto"/>
          <w:sz w:val="21"/>
          <w:szCs w:val="21"/>
          <w:highlight w:val="none"/>
          <w:u w:val="single"/>
          <w:lang w:eastAsia="zh-CN"/>
        </w:rPr>
        <w:t>龙游华水水业发展有限公司</w:t>
      </w:r>
      <w:r>
        <w:rPr>
          <w:rFonts w:hint="eastAsia" w:asciiTheme="majorEastAsia" w:hAnsiTheme="majorEastAsia" w:eastAsiaTheme="majorEastAsia" w:cstheme="majorEastAsia"/>
          <w:color w:val="auto"/>
          <w:sz w:val="21"/>
          <w:szCs w:val="21"/>
          <w:highlight w:val="none"/>
        </w:rPr>
        <w:t>（采购人）</w:t>
      </w:r>
      <w:r>
        <w:rPr>
          <w:rFonts w:hint="eastAsia" w:asciiTheme="majorEastAsia" w:hAnsiTheme="majorEastAsia" w:eastAsiaTheme="majorEastAsia" w:cstheme="majorEastAsia"/>
          <w:color w:val="auto"/>
          <w:sz w:val="21"/>
          <w:szCs w:val="21"/>
          <w:highlight w:val="none"/>
          <w:u w:val="single"/>
          <w:lang w:eastAsia="zh-CN"/>
        </w:rPr>
        <w:t>2025年龙游华水水业发展有限公司劳务承包采购项目（重招）</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（项目名称）</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eastAsia="zh-CN"/>
        </w:rPr>
        <w:t xml:space="preserve">LYCG2025TY-045 </w:t>
      </w:r>
      <w:r>
        <w:rPr>
          <w:rFonts w:hint="eastAsia" w:asciiTheme="majorEastAsia" w:hAnsiTheme="majorEastAsia" w:eastAsiaTheme="majorEastAsia" w:cstheme="majorEastAsia"/>
          <w:color w:val="auto"/>
          <w:sz w:val="21"/>
          <w:szCs w:val="21"/>
          <w:highlight w:val="none"/>
        </w:rPr>
        <w:t>（项目编号）招标要求参加投标。在这次投标过程中和中标后，我们将严格遵守国家法律法规要求，并郑重承诺：</w:t>
      </w:r>
    </w:p>
    <w:p w14:paraId="4DBECB5E">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一、不向项目有关人员及部门赠送礼金礼物、有价证券、回扣以及中介费、介绍费、咨询费等好处费；</w:t>
      </w:r>
    </w:p>
    <w:p w14:paraId="07B2A99B">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二、不为项目有关人员及部门报销应由你方单位或个人支付的费用；</w:t>
      </w:r>
    </w:p>
    <w:p w14:paraId="7A761A93">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三、不向项目有关人员及部门提供有可能影响公正的宴请和健身娱乐等活动；</w:t>
      </w:r>
    </w:p>
    <w:p w14:paraId="6AAEBF47">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四、不为项目有关人员及部门出国（境）、旅游等提供方便；</w:t>
      </w:r>
    </w:p>
    <w:p w14:paraId="6AE6FF90">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五、不为项目有关人员个人装修住房、婚丧嫁娶、配偶子女工作安排等提供好处；</w:t>
      </w:r>
    </w:p>
    <w:p w14:paraId="606124DA">
      <w:pPr>
        <w:snapToGrid w:val="0"/>
        <w:spacing w:line="48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如违反上述承诺，你单位有权立即取消我单位投标、中标资格，有权拒绝我单位在一定时期内进入你单位进行项目建设或其他经营活动，并通报政府采购监管部门。由此引起的相应损失均由我单位承担。</w:t>
      </w:r>
    </w:p>
    <w:p w14:paraId="02BFE20B">
      <w:pPr>
        <w:adjustRightInd w:val="0"/>
        <w:spacing w:line="360" w:lineRule="auto"/>
        <w:ind w:firstLine="420"/>
        <w:rPr>
          <w:rFonts w:asciiTheme="majorEastAsia" w:hAnsiTheme="majorEastAsia" w:eastAsiaTheme="majorEastAsia" w:cstheme="majorEastAsia"/>
          <w:color w:val="auto"/>
          <w:sz w:val="21"/>
          <w:szCs w:val="21"/>
          <w:highlight w:val="none"/>
        </w:rPr>
      </w:pPr>
    </w:p>
    <w:p w14:paraId="00829F7A">
      <w:pPr>
        <w:adjustRightInd w:val="0"/>
        <w:spacing w:line="360" w:lineRule="auto"/>
        <w:ind w:firstLine="480"/>
        <w:rPr>
          <w:rFonts w:ascii="宋体" w:hAnsi="宋体" w:cs="宋体"/>
          <w:color w:val="auto"/>
          <w:szCs w:val="21"/>
          <w:highlight w:val="none"/>
        </w:rPr>
      </w:pPr>
    </w:p>
    <w:p w14:paraId="478955B1">
      <w:pPr>
        <w:adjustRightInd w:val="0"/>
        <w:spacing w:line="360" w:lineRule="auto"/>
        <w:ind w:firstLine="480"/>
        <w:rPr>
          <w:rFonts w:ascii="宋体" w:hAnsi="宋体" w:cs="宋体"/>
          <w:color w:val="auto"/>
          <w:szCs w:val="21"/>
          <w:highlight w:val="none"/>
        </w:rPr>
      </w:pPr>
    </w:p>
    <w:p w14:paraId="5FB59EBD">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3C9E0E1F">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651C8F8E">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45148377">
      <w:pPr>
        <w:spacing w:line="360" w:lineRule="auto"/>
        <w:ind w:firstLine="482"/>
        <w:rPr>
          <w:rFonts w:ascii="宋体" w:hAnsi="宋体" w:cs="宋体"/>
          <w:b/>
          <w:color w:val="auto"/>
          <w:highlight w:val="none"/>
        </w:rPr>
      </w:pPr>
    </w:p>
    <w:p w14:paraId="0D43E562">
      <w:pPr>
        <w:adjustRightInd w:val="0"/>
        <w:snapToGrid w:val="0"/>
        <w:spacing w:line="360" w:lineRule="auto"/>
        <w:ind w:firstLine="560"/>
        <w:outlineLvl w:val="0"/>
        <w:rPr>
          <w:rFonts w:ascii="宋体" w:hAnsi="宋体" w:cs="宋体"/>
          <w:b/>
          <w:color w:val="auto"/>
          <w:highlight w:val="none"/>
        </w:rPr>
      </w:pPr>
      <w:r>
        <w:rPr>
          <w:rFonts w:hint="eastAsia" w:hAnsi="宋体" w:cs="宋体"/>
          <w:color w:val="auto"/>
          <w:spacing w:val="20"/>
          <w:highlight w:val="none"/>
        </w:rPr>
        <w:br w:type="page"/>
      </w:r>
      <w:bookmarkStart w:id="313" w:name="_Toc4650"/>
      <w:bookmarkStart w:id="314" w:name="_Toc1595"/>
      <w:r>
        <w:rPr>
          <w:rFonts w:hint="eastAsia" w:ascii="宋体" w:hAnsi="宋体" w:cs="宋体"/>
          <w:b/>
          <w:color w:val="auto"/>
          <w:highlight w:val="none"/>
        </w:rPr>
        <w:t>三、投标人简介</w:t>
      </w:r>
      <w:bookmarkEnd w:id="313"/>
      <w:bookmarkEnd w:id="314"/>
    </w:p>
    <w:p w14:paraId="6B3E4711">
      <w:pPr>
        <w:widowControl/>
        <w:spacing w:line="420" w:lineRule="atLeast"/>
        <w:ind w:firstLine="602"/>
        <w:jc w:val="center"/>
        <w:rPr>
          <w:rFonts w:ascii="宋体" w:hAnsi="宋体"/>
          <w:b/>
          <w:bCs/>
          <w:color w:val="auto"/>
          <w:kern w:val="0"/>
          <w:sz w:val="30"/>
          <w:szCs w:val="30"/>
          <w:highlight w:val="none"/>
        </w:rPr>
      </w:pPr>
      <w:r>
        <w:rPr>
          <w:rFonts w:hint="eastAsia" w:ascii="宋体" w:hAnsi="宋体"/>
          <w:b/>
          <w:bCs/>
          <w:color w:val="auto"/>
          <w:kern w:val="0"/>
          <w:sz w:val="30"/>
          <w:szCs w:val="30"/>
          <w:highlight w:val="none"/>
        </w:rPr>
        <w:t>投标人基本情况表</w:t>
      </w:r>
    </w:p>
    <w:tbl>
      <w:tblPr>
        <w:tblStyle w:val="3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26"/>
        <w:gridCol w:w="1762"/>
        <w:gridCol w:w="1380"/>
        <w:gridCol w:w="1290"/>
        <w:gridCol w:w="1125"/>
        <w:gridCol w:w="795"/>
        <w:gridCol w:w="1121"/>
      </w:tblGrid>
      <w:tr w14:paraId="40BBE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6"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3BFBA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2B7CC7">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700DB9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1E779D3">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注册地址</w:t>
            </w:r>
          </w:p>
        </w:tc>
        <w:tc>
          <w:tcPr>
            <w:tcW w:w="314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F6D4F0">
            <w:pPr>
              <w:snapToGrid w:val="0"/>
              <w:spacing w:line="240" w:lineRule="auto"/>
              <w:ind w:firstLine="42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45371">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邮政编码</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3C2EA2F">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15A59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6" w:hRule="atLeast"/>
          <w:jc w:val="center"/>
        </w:trPr>
        <w:tc>
          <w:tcPr>
            <w:tcW w:w="1626"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090E32AB">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联系方式</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BFF0832">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联系人</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51BD2A">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39ED1DF">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    话</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C43608">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EB35A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1626" w:type="dxa"/>
            <w:vMerge w:val="continue"/>
            <w:tcBorders>
              <w:left w:val="single" w:color="auto" w:sz="4" w:space="0"/>
              <w:right w:val="single" w:color="auto" w:sz="4" w:space="0"/>
            </w:tcBorders>
            <w:tcMar>
              <w:top w:w="113" w:type="dxa"/>
              <w:left w:w="108" w:type="dxa"/>
              <w:bottom w:w="113" w:type="dxa"/>
              <w:right w:w="108" w:type="dxa"/>
            </w:tcMar>
            <w:vAlign w:val="center"/>
          </w:tcPr>
          <w:p w14:paraId="4CBB8B8C">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48CE376">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传 真</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F81769">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7CAF56E">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移动电话</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9CCE08A">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A4EA8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1" w:hRule="atLeast"/>
          <w:jc w:val="center"/>
        </w:trPr>
        <w:tc>
          <w:tcPr>
            <w:tcW w:w="1626"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63213549">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D2FE8AA">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电子邮箱</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47D34A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7A08F3">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网    址</w:t>
            </w:r>
          </w:p>
        </w:tc>
        <w:tc>
          <w:tcPr>
            <w:tcW w:w="3041"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5A7B23E">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490C2B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5C37A65">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组织结构</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2DF0989">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r>
      <w:tr w14:paraId="38032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966CF5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法定代表人</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5D3E56">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B94E6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D80D711">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技术职称</w:t>
            </w:r>
          </w:p>
        </w:tc>
        <w:tc>
          <w:tcPr>
            <w:tcW w:w="112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8D221A4">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D75F4A4">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1121"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798FFD">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1B09E6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D58ACD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技术负责人</w:t>
            </w:r>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484AD89">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3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060AE73">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129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751AA3">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技术职称</w:t>
            </w:r>
          </w:p>
        </w:tc>
        <w:tc>
          <w:tcPr>
            <w:tcW w:w="112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76EB96">
            <w:pPr>
              <w:snapToGrid w:val="0"/>
              <w:spacing w:line="240" w:lineRule="auto"/>
              <w:ind w:firstLine="0" w:firstLineChars="0"/>
              <w:rPr>
                <w:rFonts w:asciiTheme="majorEastAsia" w:hAnsiTheme="majorEastAsia" w:eastAsiaTheme="majorEastAsia" w:cstheme="majorEastAsia"/>
                <w:color w:val="auto"/>
                <w:sz w:val="21"/>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0FCAFA">
            <w:pPr>
              <w:snapToGrid w:val="0"/>
              <w:spacing w:line="240" w:lineRule="auto"/>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1121"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4A50DB8">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4505D9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CE0534">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成立</w:t>
            </w:r>
            <w:bookmarkStart w:id="348" w:name="_GoBack"/>
            <w:r>
              <w:rPr>
                <w:rFonts w:hint="eastAsia" w:asciiTheme="majorEastAsia" w:hAnsiTheme="majorEastAsia" w:eastAsiaTheme="majorEastAsia" w:cstheme="majorEastAsia"/>
                <w:color w:val="auto"/>
                <w:sz w:val="21"/>
                <w:szCs w:val="21"/>
                <w:highlight w:val="none"/>
              </w:rPr>
              <w:t>时间</w:t>
            </w:r>
            <w:bookmarkEnd w:id="348"/>
          </w:p>
        </w:tc>
        <w:tc>
          <w:tcPr>
            <w:tcW w:w="176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125613A">
            <w:pPr>
              <w:snapToGrid w:val="0"/>
              <w:spacing w:line="240" w:lineRule="auto"/>
              <w:ind w:firstLine="420"/>
              <w:rPr>
                <w:rFonts w:asciiTheme="majorEastAsia" w:hAnsiTheme="majorEastAsia" w:eastAsiaTheme="majorEastAsia" w:cstheme="majorEastAsia"/>
                <w:color w:val="auto"/>
                <w:sz w:val="21"/>
                <w:szCs w:val="21"/>
                <w:highlight w:val="none"/>
              </w:rPr>
            </w:pPr>
          </w:p>
        </w:tc>
        <w:tc>
          <w:tcPr>
            <w:tcW w:w="5711"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A420154">
            <w:pPr>
              <w:snapToGrid w:val="0"/>
              <w:spacing w:line="24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员工总人数：</w:t>
            </w:r>
          </w:p>
        </w:tc>
      </w:tr>
      <w:tr w14:paraId="565ADB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8" w:hRule="atLeast"/>
          <w:jc w:val="center"/>
        </w:trPr>
        <w:tc>
          <w:tcPr>
            <w:tcW w:w="1626" w:type="dxa"/>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75D3423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统一社会</w:t>
            </w:r>
          </w:p>
          <w:p w14:paraId="2A72437F">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信用代码</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9BFA973">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06E24E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0"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2FA775D">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注册资本</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73A338">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3A7697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4"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86AA06">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开户银行</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37005AC">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0259C3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9"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D4965">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账号</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33833D">
            <w:pPr>
              <w:snapToGrid w:val="0"/>
              <w:spacing w:line="240" w:lineRule="auto"/>
              <w:ind w:firstLine="420"/>
              <w:rPr>
                <w:rFonts w:asciiTheme="majorEastAsia" w:hAnsiTheme="majorEastAsia" w:eastAsiaTheme="majorEastAsia" w:cstheme="majorEastAsia"/>
                <w:color w:val="auto"/>
                <w:sz w:val="21"/>
                <w:szCs w:val="21"/>
                <w:highlight w:val="none"/>
              </w:rPr>
            </w:pPr>
          </w:p>
        </w:tc>
      </w:tr>
      <w:tr w14:paraId="3A73AA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6D6C9A">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经营范围</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A8D61CD">
            <w:pPr>
              <w:pStyle w:val="11"/>
              <w:tabs>
                <w:tab w:val="left" w:pos="0"/>
              </w:tabs>
              <w:spacing w:after="0" w:line="240" w:lineRule="auto"/>
              <w:ind w:left="0" w:leftChars="0" w:firstLine="0" w:firstLineChars="0"/>
              <w:rPr>
                <w:rFonts w:asciiTheme="majorEastAsia" w:hAnsiTheme="majorEastAsia" w:eastAsiaTheme="majorEastAsia" w:cstheme="majorEastAsia"/>
                <w:color w:val="auto"/>
                <w:sz w:val="21"/>
                <w:szCs w:val="21"/>
                <w:highlight w:val="none"/>
              </w:rPr>
            </w:pPr>
          </w:p>
        </w:tc>
      </w:tr>
      <w:tr w14:paraId="0DD4C0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4" w:hRule="atLeast"/>
          <w:jc w:val="center"/>
        </w:trPr>
        <w:tc>
          <w:tcPr>
            <w:tcW w:w="1626"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93F681">
            <w:pPr>
              <w:snapToGrid w:val="0"/>
              <w:spacing w:line="240" w:lineRule="auto"/>
              <w:ind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备注</w:t>
            </w:r>
          </w:p>
        </w:tc>
        <w:tc>
          <w:tcPr>
            <w:tcW w:w="7473" w:type="dxa"/>
            <w:gridSpan w:val="6"/>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F9C3A1">
            <w:pPr>
              <w:pStyle w:val="11"/>
              <w:tabs>
                <w:tab w:val="left" w:pos="0"/>
              </w:tabs>
              <w:spacing w:after="0" w:line="240" w:lineRule="auto"/>
              <w:ind w:left="0" w:leftChars="0" w:firstLine="0" w:firstLineChars="0"/>
              <w:rPr>
                <w:rFonts w:asciiTheme="majorEastAsia" w:hAnsiTheme="majorEastAsia" w:eastAsiaTheme="majorEastAsia" w:cstheme="majorEastAsia"/>
                <w:color w:val="auto"/>
                <w:sz w:val="21"/>
                <w:szCs w:val="21"/>
                <w:highlight w:val="none"/>
              </w:rPr>
            </w:pPr>
          </w:p>
        </w:tc>
      </w:tr>
    </w:tbl>
    <w:p w14:paraId="0D0D56B7">
      <w:pPr>
        <w:spacing w:line="320" w:lineRule="exact"/>
        <w:ind w:firstLine="482"/>
        <w:rPr>
          <w:rFonts w:ascii="仿宋_GB2312" w:eastAsia="仿宋_GB2312"/>
          <w:b/>
          <w:color w:val="auto"/>
          <w:highlight w:val="none"/>
        </w:rPr>
      </w:pPr>
    </w:p>
    <w:p w14:paraId="065619BE">
      <w:pPr>
        <w:spacing w:line="320" w:lineRule="exact"/>
        <w:ind w:firstLine="482"/>
        <w:rPr>
          <w:rFonts w:ascii="仿宋_GB2312" w:eastAsia="仿宋_GB2312"/>
          <w:b/>
          <w:color w:val="auto"/>
          <w:highlight w:val="none"/>
        </w:rPr>
      </w:pPr>
    </w:p>
    <w:p w14:paraId="56F6CE80">
      <w:pPr>
        <w:spacing w:line="320" w:lineRule="exact"/>
        <w:ind w:firstLine="480"/>
        <w:rPr>
          <w:rFonts w:ascii="仿宋_GB2312" w:eastAsia="仿宋_GB2312"/>
          <w:bCs/>
          <w:color w:val="auto"/>
          <w:highlight w:val="none"/>
        </w:rPr>
      </w:pPr>
    </w:p>
    <w:p w14:paraId="5A17AAA0">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6D32E1D5">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5C3C3592">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792FC1DF">
      <w:pPr>
        <w:adjustRightInd w:val="0"/>
        <w:snapToGrid w:val="0"/>
        <w:spacing w:line="360" w:lineRule="auto"/>
        <w:ind w:firstLine="482"/>
        <w:outlineLvl w:val="0"/>
        <w:rPr>
          <w:rFonts w:ascii="宋体" w:hAnsi="宋体" w:cs="宋体"/>
          <w:b/>
          <w:color w:val="auto"/>
          <w:highlight w:val="none"/>
        </w:rPr>
      </w:pPr>
      <w:bookmarkStart w:id="315" w:name="_Toc11190"/>
      <w:bookmarkStart w:id="316" w:name="_Toc18812"/>
      <w:r>
        <w:rPr>
          <w:rFonts w:hint="eastAsia" w:ascii="宋体" w:hAnsi="宋体" w:cs="宋体"/>
          <w:b/>
          <w:color w:val="auto"/>
          <w:highlight w:val="none"/>
        </w:rPr>
        <w:t>四、类似项目业绩</w:t>
      </w:r>
      <w:bookmarkEnd w:id="315"/>
      <w:bookmarkEnd w:id="316"/>
    </w:p>
    <w:p w14:paraId="5C1B4536">
      <w:pPr>
        <w:spacing w:line="600" w:lineRule="exact"/>
        <w:ind w:firstLine="562"/>
        <w:jc w:val="center"/>
        <w:rPr>
          <w:rFonts w:ascii="宋体" w:hAnsi="宋体" w:eastAsia="宋体" w:cs="宋体"/>
          <w:b/>
          <w:color w:val="auto"/>
          <w:sz w:val="28"/>
          <w:szCs w:val="28"/>
          <w:highlight w:val="none"/>
        </w:rPr>
      </w:pPr>
      <w:bookmarkStart w:id="317" w:name="_Toc17387"/>
      <w:r>
        <w:rPr>
          <w:rFonts w:hint="eastAsia" w:ascii="宋体" w:hAnsi="宋体" w:eastAsia="宋体" w:cs="宋体"/>
          <w:b/>
          <w:color w:val="auto"/>
          <w:sz w:val="28"/>
          <w:szCs w:val="28"/>
          <w:highlight w:val="none"/>
        </w:rPr>
        <w:t>类似项目实施情况一览表</w:t>
      </w:r>
      <w:bookmarkEnd w:id="317"/>
    </w:p>
    <w:p w14:paraId="55EF49C2">
      <w:pPr>
        <w:pStyle w:val="28"/>
        <w:spacing w:line="360" w:lineRule="auto"/>
        <w:ind w:left="480" w:hanging="480"/>
        <w:rPr>
          <w:rFonts w:ascii="宋体" w:hAnsi="宋体" w:cs="宋体"/>
          <w:color w:val="auto"/>
          <w:sz w:val="24"/>
          <w:highlight w:val="none"/>
        </w:rPr>
      </w:pPr>
    </w:p>
    <w:tbl>
      <w:tblPr>
        <w:tblStyle w:val="37"/>
        <w:tblW w:w="0" w:type="auto"/>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134"/>
        <w:gridCol w:w="1443"/>
        <w:gridCol w:w="684"/>
        <w:gridCol w:w="1155"/>
        <w:gridCol w:w="830"/>
        <w:gridCol w:w="1558"/>
        <w:gridCol w:w="1985"/>
      </w:tblGrid>
      <w:tr w14:paraId="5DA6F3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44ED0737">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序号</w:t>
            </w:r>
          </w:p>
        </w:tc>
        <w:tc>
          <w:tcPr>
            <w:tcW w:w="1134" w:type="dxa"/>
            <w:tcBorders>
              <w:top w:val="single" w:color="auto" w:sz="4" w:space="0"/>
              <w:left w:val="single" w:color="auto" w:sz="4" w:space="0"/>
              <w:bottom w:val="single" w:color="auto" w:sz="4" w:space="0"/>
              <w:right w:val="single" w:color="auto" w:sz="4" w:space="0"/>
            </w:tcBorders>
            <w:vAlign w:val="center"/>
          </w:tcPr>
          <w:p w14:paraId="285E739E">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采购单位</w:t>
            </w:r>
          </w:p>
        </w:tc>
        <w:tc>
          <w:tcPr>
            <w:tcW w:w="1443" w:type="dxa"/>
            <w:tcBorders>
              <w:top w:val="single" w:color="auto" w:sz="4" w:space="0"/>
              <w:left w:val="single" w:color="auto" w:sz="4" w:space="0"/>
              <w:bottom w:val="single" w:color="auto" w:sz="4" w:space="0"/>
              <w:right w:val="single" w:color="auto" w:sz="4" w:space="0"/>
            </w:tcBorders>
            <w:vAlign w:val="center"/>
          </w:tcPr>
          <w:p w14:paraId="0621C1F1">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项目名称</w:t>
            </w:r>
          </w:p>
        </w:tc>
        <w:tc>
          <w:tcPr>
            <w:tcW w:w="684" w:type="dxa"/>
            <w:tcBorders>
              <w:top w:val="single" w:color="auto" w:sz="4" w:space="0"/>
              <w:left w:val="single" w:color="auto" w:sz="4" w:space="0"/>
              <w:bottom w:val="single" w:color="auto" w:sz="4" w:space="0"/>
              <w:right w:val="single" w:color="auto" w:sz="4" w:space="0"/>
            </w:tcBorders>
            <w:vAlign w:val="center"/>
          </w:tcPr>
          <w:p w14:paraId="301F2010">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数量</w:t>
            </w:r>
          </w:p>
        </w:tc>
        <w:tc>
          <w:tcPr>
            <w:tcW w:w="1155" w:type="dxa"/>
            <w:tcBorders>
              <w:top w:val="single" w:color="auto" w:sz="4" w:space="0"/>
              <w:left w:val="single" w:color="auto" w:sz="4" w:space="0"/>
              <w:bottom w:val="single" w:color="auto" w:sz="4" w:space="0"/>
              <w:right w:val="single" w:color="auto" w:sz="4" w:space="0"/>
            </w:tcBorders>
            <w:vAlign w:val="center"/>
          </w:tcPr>
          <w:p w14:paraId="055B1435">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合同金额（万元）</w:t>
            </w:r>
          </w:p>
        </w:tc>
        <w:tc>
          <w:tcPr>
            <w:tcW w:w="830" w:type="dxa"/>
            <w:tcBorders>
              <w:top w:val="single" w:color="auto" w:sz="4" w:space="0"/>
              <w:left w:val="single" w:color="auto" w:sz="4" w:space="0"/>
              <w:bottom w:val="single" w:color="auto" w:sz="4" w:space="0"/>
              <w:right w:val="single" w:color="auto" w:sz="4" w:space="0"/>
            </w:tcBorders>
            <w:vAlign w:val="center"/>
          </w:tcPr>
          <w:p w14:paraId="4CC93F04">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附件页码</w:t>
            </w:r>
          </w:p>
        </w:tc>
        <w:tc>
          <w:tcPr>
            <w:tcW w:w="1558" w:type="dxa"/>
            <w:tcBorders>
              <w:top w:val="single" w:color="auto" w:sz="4" w:space="0"/>
              <w:left w:val="single" w:color="auto" w:sz="4" w:space="0"/>
              <w:bottom w:val="single" w:color="auto" w:sz="4" w:space="0"/>
              <w:right w:val="single" w:color="auto" w:sz="4" w:space="0"/>
            </w:tcBorders>
            <w:vAlign w:val="center"/>
          </w:tcPr>
          <w:p w14:paraId="25C8C276">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合同签订时间</w:t>
            </w:r>
          </w:p>
        </w:tc>
        <w:tc>
          <w:tcPr>
            <w:tcW w:w="1985" w:type="dxa"/>
            <w:tcBorders>
              <w:top w:val="single" w:color="auto" w:sz="4" w:space="0"/>
              <w:left w:val="single" w:color="auto" w:sz="4" w:space="0"/>
              <w:bottom w:val="single" w:color="auto" w:sz="4" w:space="0"/>
              <w:right w:val="single" w:color="auto" w:sz="4" w:space="0"/>
            </w:tcBorders>
            <w:vAlign w:val="center"/>
          </w:tcPr>
          <w:p w14:paraId="053A11ED">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采购单位联系人</w:t>
            </w:r>
          </w:p>
          <w:p w14:paraId="302CF1DC">
            <w:pPr>
              <w:ind w:firstLine="0" w:firstLineChars="0"/>
              <w:rPr>
                <w:rFonts w:asciiTheme="majorEastAsia" w:hAnsiTheme="majorEastAsia" w:eastAsiaTheme="majorEastAsia" w:cstheme="majorEastAsia"/>
                <w:bCs/>
                <w:color w:val="auto"/>
                <w:sz w:val="21"/>
                <w:szCs w:val="21"/>
                <w:highlight w:val="none"/>
              </w:rPr>
            </w:pPr>
            <w:r>
              <w:rPr>
                <w:rFonts w:hint="eastAsia" w:asciiTheme="majorEastAsia" w:hAnsiTheme="majorEastAsia" w:eastAsiaTheme="majorEastAsia" w:cstheme="majorEastAsia"/>
                <w:bCs/>
                <w:color w:val="auto"/>
                <w:sz w:val="21"/>
                <w:szCs w:val="21"/>
                <w:highlight w:val="none"/>
              </w:rPr>
              <w:t>联系方式</w:t>
            </w:r>
          </w:p>
        </w:tc>
      </w:tr>
      <w:tr w14:paraId="0133D3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70BC0C44">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107A5B3">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7F8FD458">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37EF3866">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65D8107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04787853">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34AE379E">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E79263F">
            <w:pPr>
              <w:spacing w:line="360" w:lineRule="auto"/>
              <w:ind w:firstLine="480"/>
              <w:jc w:val="center"/>
              <w:rPr>
                <w:rFonts w:ascii="宋体" w:hAnsi="宋体" w:cs="宋体"/>
                <w:color w:val="auto"/>
                <w:highlight w:val="none"/>
              </w:rPr>
            </w:pPr>
          </w:p>
        </w:tc>
      </w:tr>
      <w:tr w14:paraId="4FBE68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519EAEFE">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C320C8F">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7767A5C6">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37040AF0">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035786AF">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06C07651">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59790B51">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7F48D0AB">
            <w:pPr>
              <w:spacing w:line="360" w:lineRule="auto"/>
              <w:ind w:firstLine="480"/>
              <w:jc w:val="center"/>
              <w:rPr>
                <w:rFonts w:ascii="宋体" w:hAnsi="宋体" w:cs="宋体"/>
                <w:color w:val="auto"/>
                <w:highlight w:val="none"/>
              </w:rPr>
            </w:pPr>
          </w:p>
        </w:tc>
      </w:tr>
      <w:tr w14:paraId="4D9A7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52DA1311">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119B22B">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51131EA1">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6C5B866C">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28451800">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3C27D887">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048A92ED">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AD6FB39">
            <w:pPr>
              <w:spacing w:line="360" w:lineRule="auto"/>
              <w:ind w:firstLine="480"/>
              <w:jc w:val="center"/>
              <w:rPr>
                <w:rFonts w:ascii="宋体" w:hAnsi="宋体" w:cs="宋体"/>
                <w:color w:val="auto"/>
                <w:highlight w:val="none"/>
              </w:rPr>
            </w:pPr>
          </w:p>
        </w:tc>
      </w:tr>
      <w:tr w14:paraId="216504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247C76BE">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23300BE">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427D1B09">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2A5B7891">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35F9E5A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7E2908D8">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48DB9055">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8662794">
            <w:pPr>
              <w:spacing w:line="360" w:lineRule="auto"/>
              <w:ind w:firstLine="480"/>
              <w:jc w:val="center"/>
              <w:rPr>
                <w:rFonts w:ascii="宋体" w:hAnsi="宋体" w:cs="宋体"/>
                <w:color w:val="auto"/>
                <w:highlight w:val="none"/>
              </w:rPr>
            </w:pPr>
          </w:p>
        </w:tc>
      </w:tr>
      <w:tr w14:paraId="06DA52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851" w:type="dxa"/>
            <w:tcBorders>
              <w:top w:val="single" w:color="auto" w:sz="4" w:space="0"/>
              <w:left w:val="single" w:color="auto" w:sz="4" w:space="0"/>
              <w:bottom w:val="single" w:color="auto" w:sz="4" w:space="0"/>
              <w:right w:val="single" w:color="auto" w:sz="4" w:space="0"/>
            </w:tcBorders>
            <w:vAlign w:val="center"/>
          </w:tcPr>
          <w:p w14:paraId="79D32FBB">
            <w:pPr>
              <w:ind w:firstLine="480"/>
              <w:jc w:val="center"/>
              <w:rPr>
                <w:rFonts w:ascii="宋体" w:hAnsi="宋体" w:cs="宋体"/>
                <w:color w:val="auto"/>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44A8656">
            <w:pPr>
              <w:ind w:firstLine="480"/>
              <w:jc w:val="center"/>
              <w:rPr>
                <w:rFonts w:ascii="宋体" w:hAnsi="宋体" w:cs="宋体"/>
                <w:color w:val="auto"/>
                <w:szCs w:val="20"/>
                <w:highlight w:val="none"/>
              </w:rPr>
            </w:pPr>
          </w:p>
        </w:tc>
        <w:tc>
          <w:tcPr>
            <w:tcW w:w="1443" w:type="dxa"/>
            <w:tcBorders>
              <w:top w:val="single" w:color="auto" w:sz="4" w:space="0"/>
              <w:left w:val="single" w:color="auto" w:sz="4" w:space="0"/>
              <w:bottom w:val="single" w:color="auto" w:sz="4" w:space="0"/>
              <w:right w:val="single" w:color="auto" w:sz="4" w:space="0"/>
            </w:tcBorders>
            <w:vAlign w:val="center"/>
          </w:tcPr>
          <w:p w14:paraId="30AD5688">
            <w:pPr>
              <w:ind w:firstLine="480"/>
              <w:jc w:val="center"/>
              <w:rPr>
                <w:rFonts w:ascii="宋体" w:hAnsi="宋体" w:cs="宋体"/>
                <w:color w:val="auto"/>
                <w:szCs w:val="20"/>
                <w:highlight w:val="none"/>
              </w:rPr>
            </w:pPr>
          </w:p>
        </w:tc>
        <w:tc>
          <w:tcPr>
            <w:tcW w:w="684" w:type="dxa"/>
            <w:tcBorders>
              <w:top w:val="single" w:color="auto" w:sz="4" w:space="0"/>
              <w:left w:val="single" w:color="auto" w:sz="4" w:space="0"/>
              <w:bottom w:val="single" w:color="auto" w:sz="4" w:space="0"/>
              <w:right w:val="single" w:color="auto" w:sz="4" w:space="0"/>
            </w:tcBorders>
            <w:vAlign w:val="center"/>
          </w:tcPr>
          <w:p w14:paraId="71E24305">
            <w:pPr>
              <w:ind w:firstLine="480"/>
              <w:jc w:val="center"/>
              <w:rPr>
                <w:rFonts w:ascii="宋体" w:hAnsi="宋体" w:cs="宋体"/>
                <w:color w:val="auto"/>
                <w:szCs w:val="20"/>
                <w:highlight w:val="none"/>
              </w:rPr>
            </w:pPr>
          </w:p>
        </w:tc>
        <w:tc>
          <w:tcPr>
            <w:tcW w:w="1155" w:type="dxa"/>
            <w:tcBorders>
              <w:top w:val="single" w:color="auto" w:sz="4" w:space="0"/>
              <w:left w:val="single" w:color="auto" w:sz="4" w:space="0"/>
              <w:bottom w:val="single" w:color="auto" w:sz="4" w:space="0"/>
              <w:right w:val="single" w:color="auto" w:sz="4" w:space="0"/>
            </w:tcBorders>
            <w:vAlign w:val="center"/>
          </w:tcPr>
          <w:p w14:paraId="5C0DA899">
            <w:pPr>
              <w:ind w:firstLine="480"/>
              <w:jc w:val="center"/>
              <w:rPr>
                <w:rFonts w:ascii="宋体" w:hAnsi="宋体" w:cs="宋体"/>
                <w:color w:val="auto"/>
                <w:szCs w:val="20"/>
                <w:highlight w:val="none"/>
              </w:rPr>
            </w:pPr>
          </w:p>
        </w:tc>
        <w:tc>
          <w:tcPr>
            <w:tcW w:w="830" w:type="dxa"/>
            <w:tcBorders>
              <w:top w:val="single" w:color="auto" w:sz="4" w:space="0"/>
              <w:left w:val="single" w:color="auto" w:sz="4" w:space="0"/>
              <w:bottom w:val="single" w:color="auto" w:sz="4" w:space="0"/>
              <w:right w:val="single" w:color="auto" w:sz="4" w:space="0"/>
            </w:tcBorders>
            <w:vAlign w:val="center"/>
          </w:tcPr>
          <w:p w14:paraId="2972EE4C">
            <w:pPr>
              <w:ind w:firstLine="480"/>
              <w:jc w:val="center"/>
              <w:rPr>
                <w:rFonts w:ascii="宋体" w:hAnsi="宋体" w:cs="宋体"/>
                <w:color w:val="auto"/>
                <w:szCs w:val="20"/>
                <w:highlight w:val="none"/>
              </w:rPr>
            </w:pPr>
          </w:p>
        </w:tc>
        <w:tc>
          <w:tcPr>
            <w:tcW w:w="1558" w:type="dxa"/>
            <w:tcBorders>
              <w:top w:val="single" w:color="auto" w:sz="4" w:space="0"/>
              <w:left w:val="single" w:color="auto" w:sz="4" w:space="0"/>
              <w:bottom w:val="single" w:color="auto" w:sz="4" w:space="0"/>
              <w:right w:val="single" w:color="auto" w:sz="4" w:space="0"/>
            </w:tcBorders>
            <w:vAlign w:val="center"/>
          </w:tcPr>
          <w:p w14:paraId="3226DEC4">
            <w:pPr>
              <w:ind w:firstLine="480"/>
              <w:jc w:val="center"/>
              <w:rPr>
                <w:rFonts w:ascii="宋体" w:hAnsi="宋体" w:cs="宋体"/>
                <w:color w:val="auto"/>
                <w:szCs w:val="20"/>
                <w:highlight w:val="none"/>
              </w:rPr>
            </w:pPr>
          </w:p>
        </w:tc>
        <w:tc>
          <w:tcPr>
            <w:tcW w:w="1985" w:type="dxa"/>
            <w:tcBorders>
              <w:top w:val="single" w:color="auto" w:sz="4" w:space="0"/>
              <w:left w:val="single" w:color="auto" w:sz="4" w:space="0"/>
              <w:bottom w:val="single" w:color="auto" w:sz="4" w:space="0"/>
              <w:right w:val="single" w:color="auto" w:sz="4" w:space="0"/>
            </w:tcBorders>
          </w:tcPr>
          <w:p w14:paraId="19229933">
            <w:pPr>
              <w:ind w:firstLine="480"/>
              <w:jc w:val="center"/>
              <w:rPr>
                <w:rFonts w:ascii="宋体" w:hAnsi="宋体" w:cs="宋体"/>
                <w:color w:val="auto"/>
                <w:szCs w:val="20"/>
                <w:highlight w:val="none"/>
              </w:rPr>
            </w:pPr>
          </w:p>
        </w:tc>
      </w:tr>
    </w:tbl>
    <w:p w14:paraId="381423D7">
      <w:pPr>
        <w:pStyle w:val="28"/>
        <w:spacing w:line="360" w:lineRule="auto"/>
        <w:ind w:left="480" w:hanging="480"/>
        <w:rPr>
          <w:rFonts w:ascii="宋体" w:hAnsi="宋体" w:cs="宋体"/>
          <w:color w:val="auto"/>
          <w:sz w:val="24"/>
          <w:highlight w:val="none"/>
        </w:rPr>
      </w:pPr>
    </w:p>
    <w:p w14:paraId="0E4CA513">
      <w:pPr>
        <w:adjustRightInd w:val="0"/>
        <w:snapToGrid w:val="0"/>
        <w:spacing w:line="360" w:lineRule="auto"/>
        <w:ind w:firstLine="420"/>
        <w:outlineLvl w:val="0"/>
        <w:rPr>
          <w:rFonts w:ascii="宋体" w:hAnsi="宋体" w:eastAsia="宋体" w:cs="宋体"/>
          <w:bCs/>
          <w:color w:val="auto"/>
          <w:sz w:val="21"/>
          <w:szCs w:val="21"/>
          <w:highlight w:val="none"/>
        </w:rPr>
      </w:pPr>
      <w:bookmarkStart w:id="318" w:name="_Toc22316"/>
      <w:r>
        <w:rPr>
          <w:rFonts w:hint="eastAsia" w:ascii="宋体" w:hAnsi="宋体" w:eastAsia="宋体" w:cs="宋体"/>
          <w:bCs/>
          <w:color w:val="auto"/>
          <w:sz w:val="21"/>
          <w:szCs w:val="21"/>
          <w:highlight w:val="none"/>
        </w:rPr>
        <w:t>说明：</w:t>
      </w:r>
      <w:bookmarkEnd w:id="318"/>
    </w:p>
    <w:p w14:paraId="77A18681">
      <w:pPr>
        <w:adjustRightInd w:val="0"/>
        <w:snapToGrid w:val="0"/>
        <w:spacing w:line="360" w:lineRule="auto"/>
        <w:ind w:firstLine="420"/>
        <w:outlineLvl w:val="0"/>
        <w:rPr>
          <w:rFonts w:ascii="宋体" w:hAnsi="宋体" w:eastAsia="宋体" w:cs="宋体"/>
          <w:bCs/>
          <w:color w:val="auto"/>
          <w:sz w:val="21"/>
          <w:szCs w:val="21"/>
          <w:highlight w:val="none"/>
        </w:rPr>
      </w:pPr>
      <w:bookmarkStart w:id="319" w:name="_Toc20270"/>
      <w:bookmarkStart w:id="320" w:name="_Toc7720"/>
      <w:r>
        <w:rPr>
          <w:rFonts w:hint="eastAsia" w:ascii="宋体" w:hAnsi="宋体" w:eastAsia="宋体" w:cs="宋体"/>
          <w:bCs/>
          <w:color w:val="auto"/>
          <w:sz w:val="21"/>
          <w:szCs w:val="21"/>
          <w:highlight w:val="none"/>
        </w:rPr>
        <w:t>1、投标人须提供上述业绩证明资料扫描件；</w:t>
      </w:r>
      <w:bookmarkEnd w:id="319"/>
      <w:bookmarkEnd w:id="320"/>
    </w:p>
    <w:p w14:paraId="037A9911">
      <w:pPr>
        <w:adjustRightInd w:val="0"/>
        <w:snapToGrid w:val="0"/>
        <w:spacing w:line="360" w:lineRule="auto"/>
        <w:ind w:firstLine="420"/>
        <w:outlineLvl w:val="0"/>
        <w:rPr>
          <w:rFonts w:ascii="宋体" w:hAnsi="宋体" w:eastAsia="宋体" w:cs="宋体"/>
          <w:bCs/>
          <w:color w:val="auto"/>
          <w:sz w:val="21"/>
          <w:szCs w:val="21"/>
          <w:highlight w:val="none"/>
        </w:rPr>
      </w:pPr>
      <w:bookmarkStart w:id="321" w:name="_Toc4073"/>
      <w:bookmarkStart w:id="322" w:name="_Toc27909"/>
      <w:r>
        <w:rPr>
          <w:rFonts w:hint="eastAsia" w:ascii="宋体" w:hAnsi="宋体" w:eastAsia="宋体" w:cs="宋体"/>
          <w:bCs/>
          <w:color w:val="auto"/>
          <w:sz w:val="21"/>
          <w:szCs w:val="21"/>
          <w:highlight w:val="none"/>
        </w:rPr>
        <w:t>2、所有合同扫描件应清晰，应能体现合同签订时间、双方签字盖章等内容；</w:t>
      </w:r>
      <w:bookmarkEnd w:id="321"/>
      <w:bookmarkEnd w:id="322"/>
    </w:p>
    <w:p w14:paraId="2545A031">
      <w:pPr>
        <w:adjustRightInd w:val="0"/>
        <w:snapToGrid w:val="0"/>
        <w:spacing w:line="360" w:lineRule="auto"/>
        <w:ind w:firstLine="420"/>
        <w:outlineLvl w:val="0"/>
        <w:rPr>
          <w:rFonts w:ascii="宋体" w:hAnsi="宋体" w:eastAsia="宋体" w:cs="宋体"/>
          <w:bCs/>
          <w:color w:val="auto"/>
          <w:sz w:val="21"/>
          <w:szCs w:val="21"/>
          <w:highlight w:val="none"/>
        </w:rPr>
      </w:pPr>
      <w:bookmarkStart w:id="323" w:name="_Toc31007"/>
      <w:bookmarkStart w:id="324" w:name="_Toc19367"/>
      <w:r>
        <w:rPr>
          <w:rFonts w:hint="eastAsia" w:ascii="宋体" w:hAnsi="宋体" w:eastAsia="宋体" w:cs="宋体"/>
          <w:bCs/>
          <w:color w:val="auto"/>
          <w:sz w:val="21"/>
          <w:szCs w:val="21"/>
          <w:highlight w:val="none"/>
        </w:rPr>
        <w:t>3、投标人应在不涉及商业秘密的前提下尽可能提供详细的合同扫描件内容。</w:t>
      </w:r>
      <w:bookmarkEnd w:id="323"/>
      <w:bookmarkEnd w:id="324"/>
    </w:p>
    <w:p w14:paraId="62F2CA98">
      <w:pPr>
        <w:spacing w:line="360" w:lineRule="auto"/>
        <w:ind w:left="240" w:leftChars="100" w:firstLine="480"/>
        <w:rPr>
          <w:rFonts w:ascii="宋体" w:hAnsi="宋体" w:cs="宋体"/>
          <w:color w:val="auto"/>
          <w:szCs w:val="21"/>
          <w:highlight w:val="none"/>
        </w:rPr>
      </w:pPr>
    </w:p>
    <w:p w14:paraId="7B57D4BC">
      <w:pPr>
        <w:spacing w:line="360" w:lineRule="auto"/>
        <w:ind w:left="240" w:leftChars="100" w:firstLine="480"/>
        <w:rPr>
          <w:rFonts w:ascii="宋体" w:hAnsi="宋体" w:cs="宋体"/>
          <w:color w:val="auto"/>
          <w:szCs w:val="21"/>
          <w:highlight w:val="none"/>
        </w:rPr>
      </w:pPr>
    </w:p>
    <w:p w14:paraId="4A3371DE">
      <w:pPr>
        <w:pStyle w:val="19"/>
        <w:adjustRightInd w:val="0"/>
        <w:snapToGrid w:val="0"/>
        <w:spacing w:line="360" w:lineRule="auto"/>
        <w:ind w:firstLine="420"/>
        <w:rPr>
          <w:rFonts w:hAnsi="宋体"/>
          <w:color w:val="auto"/>
          <w:highlight w:val="none"/>
        </w:rPr>
      </w:pPr>
      <w:bookmarkStart w:id="325" w:name="_Toc245088206"/>
      <w:bookmarkStart w:id="326" w:name="_Toc345575544"/>
      <w:r>
        <w:rPr>
          <w:rFonts w:hint="eastAsia" w:hAnsi="宋体"/>
          <w:color w:val="auto"/>
          <w:highlight w:val="none"/>
        </w:rPr>
        <w:t>投标人全称（盖单位公章）：</w:t>
      </w:r>
    </w:p>
    <w:p w14:paraId="54624CA1">
      <w:pPr>
        <w:pStyle w:val="19"/>
        <w:adjustRightInd w:val="0"/>
        <w:snapToGrid w:val="0"/>
        <w:spacing w:line="360" w:lineRule="auto"/>
        <w:ind w:firstLine="420"/>
        <w:rPr>
          <w:rFonts w:hAnsi="宋体"/>
          <w:color w:val="auto"/>
          <w:highlight w:val="none"/>
        </w:rPr>
      </w:pPr>
      <w:r>
        <w:rPr>
          <w:rFonts w:hint="eastAsia" w:hAnsi="宋体"/>
          <w:color w:val="auto"/>
          <w:highlight w:val="none"/>
        </w:rPr>
        <w:t>法定代表人或其授权委托人（签字或盖章）：</w:t>
      </w:r>
    </w:p>
    <w:p w14:paraId="52A0237F">
      <w:pPr>
        <w:pStyle w:val="19"/>
        <w:adjustRightInd w:val="0"/>
        <w:snapToGrid w:val="0"/>
        <w:spacing w:line="360" w:lineRule="auto"/>
        <w:ind w:firstLine="420"/>
        <w:rPr>
          <w:rFonts w:hAnsi="宋体"/>
          <w:color w:val="auto"/>
          <w:highlight w:val="none"/>
        </w:rPr>
      </w:pPr>
      <w:r>
        <w:rPr>
          <w:rFonts w:hint="eastAsia" w:hAnsi="宋体"/>
          <w:color w:val="auto"/>
          <w:highlight w:val="none"/>
        </w:rPr>
        <w:t>日期：</w:t>
      </w:r>
    </w:p>
    <w:p w14:paraId="773840C1">
      <w:pPr>
        <w:pStyle w:val="16"/>
        <w:snapToGrid w:val="0"/>
        <w:spacing w:line="360" w:lineRule="auto"/>
        <w:ind w:left="0" w:leftChars="0" w:firstLine="0" w:firstLineChars="0"/>
        <w:rPr>
          <w:rFonts w:ascii="宋体" w:hAnsi="宋体" w:cs="宋体"/>
          <w:color w:val="auto"/>
          <w:spacing w:val="20"/>
          <w:highlight w:val="none"/>
        </w:rPr>
      </w:pPr>
    </w:p>
    <w:p w14:paraId="25B28B2A">
      <w:pPr>
        <w:pStyle w:val="16"/>
        <w:snapToGrid w:val="0"/>
        <w:spacing w:line="360" w:lineRule="auto"/>
        <w:ind w:left="0" w:leftChars="0" w:firstLine="0" w:firstLineChars="0"/>
        <w:rPr>
          <w:rFonts w:ascii="宋体" w:hAnsi="宋体" w:cs="宋体"/>
          <w:color w:val="auto"/>
          <w:spacing w:val="20"/>
          <w:highlight w:val="none"/>
        </w:rPr>
      </w:pPr>
    </w:p>
    <w:bookmarkEnd w:id="325"/>
    <w:bookmarkEnd w:id="326"/>
    <w:p w14:paraId="364340F9">
      <w:pPr>
        <w:spacing w:line="360" w:lineRule="auto"/>
        <w:ind w:firstLine="560"/>
        <w:jc w:val="center"/>
        <w:rPr>
          <w:rFonts w:hAnsi="宋体" w:cs="宋体"/>
          <w:color w:val="auto"/>
          <w:spacing w:val="20"/>
          <w:highlight w:val="none"/>
        </w:rPr>
      </w:pPr>
    </w:p>
    <w:p w14:paraId="195AEC1D">
      <w:pPr>
        <w:pStyle w:val="36"/>
        <w:ind w:firstLine="280"/>
        <w:rPr>
          <w:rFonts w:hAnsi="宋体" w:cs="宋体"/>
          <w:color w:val="auto"/>
          <w:spacing w:val="20"/>
          <w:highlight w:val="none"/>
        </w:rPr>
      </w:pPr>
    </w:p>
    <w:p w14:paraId="095BB71D">
      <w:pPr>
        <w:ind w:firstLine="560"/>
        <w:rPr>
          <w:rFonts w:hAnsi="宋体" w:cs="宋体"/>
          <w:color w:val="auto"/>
          <w:spacing w:val="20"/>
          <w:highlight w:val="none"/>
        </w:rPr>
      </w:pPr>
    </w:p>
    <w:p w14:paraId="6A2617E3">
      <w:pPr>
        <w:pStyle w:val="9"/>
        <w:ind w:firstLine="480"/>
        <w:rPr>
          <w:color w:val="auto"/>
          <w:highlight w:val="none"/>
        </w:rPr>
      </w:pPr>
    </w:p>
    <w:p w14:paraId="119B1FF3">
      <w:pPr>
        <w:pStyle w:val="36"/>
        <w:ind w:firstLine="280"/>
        <w:rPr>
          <w:rFonts w:hAnsi="宋体" w:cs="宋体"/>
          <w:color w:val="auto"/>
          <w:spacing w:val="20"/>
          <w:highlight w:val="none"/>
        </w:rPr>
      </w:pPr>
    </w:p>
    <w:p w14:paraId="74489F3F">
      <w:pPr>
        <w:adjustRightInd w:val="0"/>
        <w:snapToGrid w:val="0"/>
        <w:spacing w:line="360" w:lineRule="auto"/>
        <w:ind w:firstLine="482"/>
        <w:rPr>
          <w:rFonts w:ascii="宋体" w:hAnsi="宋体" w:cs="宋体"/>
          <w:b/>
          <w:color w:val="auto"/>
          <w:highlight w:val="none"/>
        </w:rPr>
      </w:pPr>
      <w:bookmarkStart w:id="327" w:name="_Toc345575543"/>
      <w:bookmarkStart w:id="328" w:name="_Toc336683581"/>
      <w:bookmarkStart w:id="329" w:name="_Toc30322"/>
    </w:p>
    <w:p w14:paraId="0FA89E04">
      <w:pPr>
        <w:adjustRightInd w:val="0"/>
        <w:snapToGrid w:val="0"/>
        <w:spacing w:line="360" w:lineRule="auto"/>
        <w:ind w:firstLine="482"/>
        <w:outlineLvl w:val="0"/>
        <w:rPr>
          <w:rFonts w:ascii="宋体" w:hAnsi="宋体" w:cs="宋体"/>
          <w:b/>
          <w:color w:val="auto"/>
          <w:highlight w:val="none"/>
        </w:rPr>
      </w:pPr>
      <w:bookmarkStart w:id="330" w:name="_Toc30224"/>
    </w:p>
    <w:p w14:paraId="15C225FF">
      <w:pPr>
        <w:adjustRightInd w:val="0"/>
        <w:snapToGrid w:val="0"/>
        <w:spacing w:line="360" w:lineRule="auto"/>
        <w:ind w:firstLine="482"/>
        <w:outlineLvl w:val="0"/>
        <w:rPr>
          <w:rFonts w:ascii="宋体" w:hAnsi="宋体" w:cs="宋体"/>
          <w:b/>
          <w:bCs/>
          <w:color w:val="auto"/>
          <w:sz w:val="32"/>
          <w:szCs w:val="32"/>
          <w:highlight w:val="none"/>
        </w:rPr>
      </w:pPr>
      <w:r>
        <w:rPr>
          <w:rFonts w:hint="eastAsia" w:ascii="宋体" w:hAnsi="宋体" w:cs="宋体"/>
          <w:b/>
          <w:color w:val="auto"/>
          <w:highlight w:val="none"/>
        </w:rPr>
        <w:t>五、</w:t>
      </w:r>
      <w:bookmarkEnd w:id="327"/>
      <w:bookmarkEnd w:id="328"/>
      <w:r>
        <w:rPr>
          <w:rFonts w:hint="eastAsia" w:ascii="宋体" w:hAnsi="宋体" w:cs="宋体"/>
          <w:b/>
          <w:color w:val="auto"/>
          <w:highlight w:val="none"/>
        </w:rPr>
        <w:t>投标响应表（偏离表）格式</w:t>
      </w:r>
      <w:bookmarkEnd w:id="329"/>
      <w:bookmarkEnd w:id="330"/>
    </w:p>
    <w:p w14:paraId="35C2495F">
      <w:pPr>
        <w:spacing w:line="360" w:lineRule="auto"/>
        <w:ind w:left="321" w:hanging="321" w:hangingChars="10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投标响应表（商务偏离表）</w:t>
      </w:r>
    </w:p>
    <w:p w14:paraId="753BFCCD">
      <w:pPr>
        <w:spacing w:line="360" w:lineRule="auto"/>
        <w:ind w:firstLine="420"/>
        <w:rPr>
          <w:rFonts w:asciiTheme="majorEastAsia" w:hAnsiTheme="majorEastAsia" w:eastAsiaTheme="majorEastAsia" w:cstheme="majorEastAsia"/>
          <w:color w:val="auto"/>
          <w:sz w:val="21"/>
          <w:szCs w:val="21"/>
          <w:highlight w:val="none"/>
          <w:u w:val="single"/>
        </w:rPr>
      </w:pPr>
      <w:r>
        <w:rPr>
          <w:rFonts w:hint="eastAsia" w:asciiTheme="majorEastAsia" w:hAnsiTheme="majorEastAsia" w:eastAsiaTheme="majorEastAsia" w:cstheme="majorEastAsia"/>
          <w:color w:val="auto"/>
          <w:sz w:val="21"/>
          <w:szCs w:val="21"/>
          <w:highlight w:val="none"/>
        </w:rPr>
        <w:t>项目名称：</w:t>
      </w:r>
    </w:p>
    <w:tbl>
      <w:tblPr>
        <w:tblStyle w:val="37"/>
        <w:tblpPr w:leftFromText="180" w:rightFromText="180" w:vertAnchor="text" w:horzAnchor="page" w:tblpX="1245" w:tblpY="1009"/>
        <w:tblOverlap w:val="never"/>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08"/>
        <w:gridCol w:w="3060"/>
        <w:gridCol w:w="2340"/>
        <w:gridCol w:w="2880"/>
      </w:tblGrid>
      <w:tr w14:paraId="25A5CB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28163094">
            <w:pPr>
              <w:snapToGrid w:val="0"/>
              <w:ind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3060" w:type="dxa"/>
            <w:vAlign w:val="center"/>
          </w:tcPr>
          <w:p w14:paraId="1C52F419">
            <w:pPr>
              <w:snapToGrid w:val="0"/>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采购要求</w:t>
            </w:r>
          </w:p>
        </w:tc>
        <w:tc>
          <w:tcPr>
            <w:tcW w:w="2340" w:type="dxa"/>
            <w:vAlign w:val="center"/>
          </w:tcPr>
          <w:p w14:paraId="401EBC6D">
            <w:pPr>
              <w:snapToGrid w:val="0"/>
              <w:ind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投标响应</w:t>
            </w:r>
          </w:p>
        </w:tc>
        <w:tc>
          <w:tcPr>
            <w:tcW w:w="2880" w:type="dxa"/>
            <w:vAlign w:val="center"/>
          </w:tcPr>
          <w:p w14:paraId="47FEED98">
            <w:pPr>
              <w:snapToGrid w:val="0"/>
              <w:ind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说明（正/负/无偏离）</w:t>
            </w:r>
          </w:p>
        </w:tc>
      </w:tr>
      <w:tr w14:paraId="4B0F9F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7D1591D">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76617107">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10BFBC57">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3E82ADD5">
            <w:pPr>
              <w:snapToGrid w:val="0"/>
              <w:ind w:firstLine="560"/>
              <w:jc w:val="center"/>
              <w:rPr>
                <w:rFonts w:asciiTheme="majorEastAsia" w:hAnsiTheme="majorEastAsia" w:eastAsiaTheme="majorEastAsia" w:cstheme="majorEastAsia"/>
                <w:color w:val="auto"/>
                <w:spacing w:val="20"/>
                <w:highlight w:val="none"/>
              </w:rPr>
            </w:pPr>
          </w:p>
        </w:tc>
      </w:tr>
      <w:tr w14:paraId="0917F6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396754E">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F6D1B89">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1A5570FE">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25540A3C">
            <w:pPr>
              <w:snapToGrid w:val="0"/>
              <w:ind w:firstLine="560"/>
              <w:jc w:val="center"/>
              <w:rPr>
                <w:rFonts w:asciiTheme="majorEastAsia" w:hAnsiTheme="majorEastAsia" w:eastAsiaTheme="majorEastAsia" w:cstheme="majorEastAsia"/>
                <w:color w:val="auto"/>
                <w:spacing w:val="20"/>
                <w:highlight w:val="none"/>
              </w:rPr>
            </w:pPr>
          </w:p>
        </w:tc>
      </w:tr>
      <w:tr w14:paraId="37EF99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3CB4DFCE">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5F65A8DB">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014F1275">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752B2ECF">
            <w:pPr>
              <w:snapToGrid w:val="0"/>
              <w:ind w:firstLine="560"/>
              <w:jc w:val="center"/>
              <w:rPr>
                <w:rFonts w:asciiTheme="majorEastAsia" w:hAnsiTheme="majorEastAsia" w:eastAsiaTheme="majorEastAsia" w:cstheme="majorEastAsia"/>
                <w:color w:val="auto"/>
                <w:spacing w:val="20"/>
                <w:highlight w:val="none"/>
              </w:rPr>
            </w:pPr>
          </w:p>
        </w:tc>
      </w:tr>
      <w:tr w14:paraId="50BABD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6A34B7C6">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D017277">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4FE58EE9">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227B65D6">
            <w:pPr>
              <w:snapToGrid w:val="0"/>
              <w:ind w:firstLine="560"/>
              <w:jc w:val="center"/>
              <w:rPr>
                <w:rFonts w:asciiTheme="majorEastAsia" w:hAnsiTheme="majorEastAsia" w:eastAsiaTheme="majorEastAsia" w:cstheme="majorEastAsia"/>
                <w:color w:val="auto"/>
                <w:spacing w:val="20"/>
                <w:highlight w:val="none"/>
              </w:rPr>
            </w:pPr>
          </w:p>
        </w:tc>
      </w:tr>
      <w:tr w14:paraId="73373ED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6EE917FF">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378387F5">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396D7793">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7AD50BE5">
            <w:pPr>
              <w:snapToGrid w:val="0"/>
              <w:ind w:firstLine="560"/>
              <w:jc w:val="center"/>
              <w:rPr>
                <w:rFonts w:asciiTheme="majorEastAsia" w:hAnsiTheme="majorEastAsia" w:eastAsiaTheme="majorEastAsia" w:cstheme="majorEastAsia"/>
                <w:color w:val="auto"/>
                <w:spacing w:val="20"/>
                <w:highlight w:val="none"/>
              </w:rPr>
            </w:pPr>
          </w:p>
        </w:tc>
      </w:tr>
      <w:tr w14:paraId="5D553F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trPr>
        <w:tc>
          <w:tcPr>
            <w:tcW w:w="1008" w:type="dxa"/>
            <w:vAlign w:val="center"/>
          </w:tcPr>
          <w:p w14:paraId="2764C4A6">
            <w:pPr>
              <w:snapToGrid w:val="0"/>
              <w:ind w:firstLine="560"/>
              <w:jc w:val="center"/>
              <w:rPr>
                <w:rFonts w:asciiTheme="majorEastAsia" w:hAnsiTheme="majorEastAsia" w:eastAsiaTheme="majorEastAsia" w:cstheme="majorEastAsia"/>
                <w:color w:val="auto"/>
                <w:spacing w:val="20"/>
                <w:highlight w:val="none"/>
              </w:rPr>
            </w:pPr>
          </w:p>
        </w:tc>
        <w:tc>
          <w:tcPr>
            <w:tcW w:w="3060" w:type="dxa"/>
            <w:vAlign w:val="center"/>
          </w:tcPr>
          <w:p w14:paraId="04FD8C23">
            <w:pPr>
              <w:snapToGrid w:val="0"/>
              <w:ind w:firstLine="560"/>
              <w:jc w:val="center"/>
              <w:rPr>
                <w:rFonts w:asciiTheme="majorEastAsia" w:hAnsiTheme="majorEastAsia" w:eastAsiaTheme="majorEastAsia" w:cstheme="majorEastAsia"/>
                <w:color w:val="auto"/>
                <w:spacing w:val="20"/>
                <w:highlight w:val="none"/>
              </w:rPr>
            </w:pPr>
          </w:p>
        </w:tc>
        <w:tc>
          <w:tcPr>
            <w:tcW w:w="2340" w:type="dxa"/>
            <w:vAlign w:val="center"/>
          </w:tcPr>
          <w:p w14:paraId="0065E2B3">
            <w:pPr>
              <w:snapToGrid w:val="0"/>
              <w:ind w:firstLine="560"/>
              <w:jc w:val="center"/>
              <w:rPr>
                <w:rFonts w:asciiTheme="majorEastAsia" w:hAnsiTheme="majorEastAsia" w:eastAsiaTheme="majorEastAsia" w:cstheme="majorEastAsia"/>
                <w:color w:val="auto"/>
                <w:spacing w:val="20"/>
                <w:highlight w:val="none"/>
              </w:rPr>
            </w:pPr>
          </w:p>
        </w:tc>
        <w:tc>
          <w:tcPr>
            <w:tcW w:w="2880" w:type="dxa"/>
            <w:vAlign w:val="center"/>
          </w:tcPr>
          <w:p w14:paraId="458F4519">
            <w:pPr>
              <w:snapToGrid w:val="0"/>
              <w:ind w:firstLine="560"/>
              <w:jc w:val="center"/>
              <w:rPr>
                <w:rFonts w:asciiTheme="majorEastAsia" w:hAnsiTheme="majorEastAsia" w:eastAsiaTheme="majorEastAsia" w:cstheme="majorEastAsia"/>
                <w:color w:val="auto"/>
                <w:spacing w:val="20"/>
                <w:highlight w:val="none"/>
              </w:rPr>
            </w:pPr>
          </w:p>
        </w:tc>
      </w:tr>
    </w:tbl>
    <w:p w14:paraId="5D7D3D61">
      <w:pPr>
        <w:spacing w:line="36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项目编号：</w:t>
      </w:r>
    </w:p>
    <w:p w14:paraId="5E1292BE">
      <w:pPr>
        <w:pStyle w:val="7"/>
        <w:ind w:firstLine="480"/>
        <w:rPr>
          <w:color w:val="auto"/>
          <w:highlight w:val="none"/>
        </w:rPr>
      </w:pPr>
    </w:p>
    <w:p w14:paraId="06C182E4">
      <w:pPr>
        <w:spacing w:line="360" w:lineRule="auto"/>
        <w:ind w:firstLine="420"/>
        <w:rPr>
          <w:rFonts w:ascii="宋体" w:hAnsi="宋体" w:cs="宋体"/>
          <w:color w:val="auto"/>
          <w:sz w:val="21"/>
          <w:szCs w:val="21"/>
          <w:highlight w:val="none"/>
        </w:rPr>
      </w:pPr>
      <w:r>
        <w:rPr>
          <w:rFonts w:hint="eastAsia" w:asciiTheme="majorEastAsia" w:hAnsiTheme="majorEastAsia" w:eastAsiaTheme="majorEastAsia" w:cstheme="majorEastAsia"/>
          <w:color w:val="auto"/>
          <w:sz w:val="21"/>
          <w:szCs w:val="21"/>
          <w:highlight w:val="none"/>
        </w:rPr>
        <w:t>填表说明：1、对采购文件有任何偏离（包括正/负/无偏离）均应汇总并填写在此表中。</w:t>
      </w:r>
    </w:p>
    <w:p w14:paraId="7858D662">
      <w:pPr>
        <w:snapToGrid w:val="0"/>
        <w:spacing w:line="360" w:lineRule="auto"/>
        <w:ind w:firstLine="1470" w:firstLineChars="700"/>
        <w:rPr>
          <w:rFonts w:ascii="宋体" w:hAnsi="宋体" w:eastAsia="宋体"/>
          <w:bCs/>
          <w:color w:val="auto"/>
          <w:sz w:val="21"/>
          <w:szCs w:val="21"/>
          <w:highlight w:val="none"/>
        </w:rPr>
      </w:pPr>
      <w:r>
        <w:rPr>
          <w:rFonts w:hint="eastAsia" w:ascii="宋体" w:hAnsi="宋体" w:eastAsia="宋体"/>
          <w:bCs/>
          <w:color w:val="auto"/>
          <w:sz w:val="21"/>
          <w:szCs w:val="21"/>
          <w:highlight w:val="none"/>
        </w:rPr>
        <w:t>2、投标人若不填写，则视为完全响应招标文件要求。</w:t>
      </w:r>
    </w:p>
    <w:p w14:paraId="62507D98">
      <w:pPr>
        <w:spacing w:line="360" w:lineRule="auto"/>
        <w:ind w:firstLine="420"/>
        <w:rPr>
          <w:rFonts w:ascii="宋体" w:hAnsi="宋体" w:cs="宋体"/>
          <w:color w:val="auto"/>
          <w:sz w:val="21"/>
          <w:szCs w:val="21"/>
          <w:highlight w:val="none"/>
        </w:rPr>
      </w:pPr>
    </w:p>
    <w:p w14:paraId="42FDBB1E">
      <w:pPr>
        <w:spacing w:line="360" w:lineRule="auto"/>
        <w:ind w:firstLine="480"/>
        <w:rPr>
          <w:rFonts w:ascii="宋体" w:hAnsi="宋体" w:cs="宋体"/>
          <w:color w:val="auto"/>
          <w:highlight w:val="none"/>
        </w:rPr>
      </w:pPr>
    </w:p>
    <w:p w14:paraId="4E634626">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投标人全称（盖单位公章）：</w:t>
      </w:r>
    </w:p>
    <w:p w14:paraId="789ADFC2">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法定代表人或其授权委托人（签字或盖章）：</w:t>
      </w:r>
    </w:p>
    <w:p w14:paraId="13FC0FF1">
      <w:pPr>
        <w:pStyle w:val="19"/>
        <w:adjustRightInd w:val="0"/>
        <w:snapToGrid w:val="0"/>
        <w:spacing w:line="360" w:lineRule="auto"/>
        <w:ind w:firstLine="420"/>
        <w:rPr>
          <w:rFonts w:hAnsi="宋体"/>
          <w:bCs/>
          <w:color w:val="auto"/>
          <w:highlight w:val="none"/>
        </w:rPr>
      </w:pPr>
      <w:r>
        <w:rPr>
          <w:rFonts w:hint="eastAsia" w:hAnsi="宋体"/>
          <w:bCs/>
          <w:color w:val="auto"/>
          <w:highlight w:val="none"/>
        </w:rPr>
        <w:t>日期：</w:t>
      </w:r>
    </w:p>
    <w:p w14:paraId="6A76C6C7">
      <w:pPr>
        <w:ind w:firstLine="480"/>
        <w:rPr>
          <w:rFonts w:ascii="宋体" w:hAnsi="宋体" w:cs="宋体"/>
          <w:color w:val="auto"/>
          <w:szCs w:val="21"/>
          <w:highlight w:val="none"/>
        </w:rPr>
      </w:pPr>
    </w:p>
    <w:p w14:paraId="5310864C">
      <w:pPr>
        <w:ind w:firstLine="480"/>
        <w:rPr>
          <w:rFonts w:ascii="宋体" w:hAnsi="宋体" w:cs="宋体"/>
          <w:color w:val="auto"/>
          <w:szCs w:val="21"/>
          <w:highlight w:val="none"/>
        </w:rPr>
      </w:pPr>
    </w:p>
    <w:p w14:paraId="5DBED2CB">
      <w:pPr>
        <w:pStyle w:val="15"/>
        <w:ind w:firstLine="480"/>
        <w:rPr>
          <w:rFonts w:ascii="宋体" w:hAnsi="宋体" w:cs="宋体"/>
          <w:color w:val="auto"/>
          <w:szCs w:val="21"/>
          <w:highlight w:val="none"/>
        </w:rPr>
      </w:pPr>
    </w:p>
    <w:p w14:paraId="6CF56BB4">
      <w:pPr>
        <w:pStyle w:val="36"/>
        <w:ind w:firstLine="240"/>
        <w:rPr>
          <w:rFonts w:ascii="宋体" w:hAnsi="宋体" w:cs="宋体"/>
          <w:color w:val="auto"/>
          <w:szCs w:val="21"/>
          <w:highlight w:val="none"/>
        </w:rPr>
      </w:pPr>
    </w:p>
    <w:p w14:paraId="3786727D">
      <w:pPr>
        <w:ind w:firstLine="480"/>
        <w:rPr>
          <w:rFonts w:ascii="宋体" w:hAnsi="宋体" w:cs="宋体"/>
          <w:color w:val="auto"/>
          <w:szCs w:val="21"/>
          <w:highlight w:val="none"/>
        </w:rPr>
      </w:pPr>
    </w:p>
    <w:p w14:paraId="20D97595">
      <w:pPr>
        <w:pStyle w:val="15"/>
        <w:ind w:firstLine="480"/>
        <w:rPr>
          <w:color w:val="auto"/>
          <w:highlight w:val="none"/>
        </w:rPr>
      </w:pPr>
    </w:p>
    <w:p w14:paraId="026E66E6">
      <w:pPr>
        <w:pStyle w:val="36"/>
        <w:ind w:firstLine="240"/>
        <w:rPr>
          <w:color w:val="auto"/>
          <w:highlight w:val="none"/>
        </w:rPr>
      </w:pPr>
    </w:p>
    <w:p w14:paraId="25798A90">
      <w:pPr>
        <w:pStyle w:val="36"/>
        <w:ind w:firstLine="0" w:firstLineChars="0"/>
        <w:rPr>
          <w:color w:val="auto"/>
          <w:highlight w:val="none"/>
        </w:rPr>
      </w:pPr>
    </w:p>
    <w:p w14:paraId="2518ED2A">
      <w:pPr>
        <w:pStyle w:val="10"/>
        <w:spacing w:line="360" w:lineRule="auto"/>
        <w:ind w:left="533" w:leftChars="180" w:hanging="101" w:hangingChars="36"/>
        <w:jc w:val="left"/>
        <w:outlineLvl w:val="0"/>
        <w:rPr>
          <w:rFonts w:ascii="宋体" w:hAnsi="宋体" w:cs="宋体"/>
          <w:b/>
          <w:color w:val="auto"/>
          <w:sz w:val="28"/>
          <w:szCs w:val="28"/>
          <w:highlight w:val="none"/>
        </w:rPr>
      </w:pPr>
      <w:bookmarkStart w:id="331" w:name="_Toc6044"/>
      <w:bookmarkStart w:id="332" w:name="_Toc13955"/>
      <w:r>
        <w:rPr>
          <w:rFonts w:hint="eastAsia" w:cs="宋体"/>
          <w:b/>
          <w:color w:val="auto"/>
          <w:sz w:val="28"/>
          <w:szCs w:val="28"/>
          <w:highlight w:val="none"/>
          <w:lang w:val="en-US" w:eastAsia="zh-CN"/>
        </w:rPr>
        <w:t>六</w:t>
      </w:r>
      <w:r>
        <w:rPr>
          <w:rFonts w:hint="eastAsia" w:ascii="宋体" w:hAnsi="宋体" w:cs="宋体"/>
          <w:b/>
          <w:color w:val="auto"/>
          <w:sz w:val="28"/>
          <w:szCs w:val="28"/>
          <w:highlight w:val="none"/>
        </w:rPr>
        <w:t>、</w:t>
      </w:r>
      <w:r>
        <w:rPr>
          <w:rFonts w:hint="eastAsia" w:cs="宋体"/>
          <w:b/>
          <w:color w:val="auto"/>
          <w:sz w:val="28"/>
          <w:szCs w:val="28"/>
          <w:highlight w:val="none"/>
        </w:rPr>
        <w:t>技术部分</w:t>
      </w:r>
      <w:bookmarkEnd w:id="331"/>
      <w:bookmarkEnd w:id="332"/>
    </w:p>
    <w:p w14:paraId="1AE48F04">
      <w:pPr>
        <w:ind w:firstLine="456"/>
        <w:rPr>
          <w:rFonts w:ascii="宋体" w:hAnsi="宋体" w:eastAsia="宋体"/>
          <w:color w:val="auto"/>
          <w:spacing w:val="-6"/>
          <w:highlight w:val="none"/>
        </w:rPr>
      </w:pPr>
      <w:r>
        <w:rPr>
          <w:rFonts w:hint="eastAsia" w:ascii="宋体" w:hAnsi="宋体" w:eastAsia="宋体"/>
          <w:color w:val="auto"/>
          <w:spacing w:val="-6"/>
          <w:highlight w:val="none"/>
        </w:rPr>
        <w:t>1、由投标人按评分细则自行编制；</w:t>
      </w:r>
    </w:p>
    <w:p w14:paraId="3119F1C9">
      <w:pPr>
        <w:pStyle w:val="15"/>
        <w:ind w:firstLine="396"/>
        <w:rPr>
          <w:rFonts w:ascii="宋体" w:hAnsi="宋体" w:eastAsia="宋体"/>
          <w:color w:val="auto"/>
          <w:spacing w:val="-6"/>
          <w:sz w:val="21"/>
          <w:szCs w:val="21"/>
          <w:highlight w:val="none"/>
        </w:rPr>
      </w:pPr>
    </w:p>
    <w:p w14:paraId="06E4C249">
      <w:pPr>
        <w:pStyle w:val="36"/>
        <w:ind w:firstLine="198"/>
        <w:rPr>
          <w:rFonts w:ascii="宋体" w:hAnsi="宋体" w:eastAsia="宋体"/>
          <w:color w:val="auto"/>
          <w:spacing w:val="-6"/>
          <w:sz w:val="21"/>
          <w:szCs w:val="21"/>
          <w:highlight w:val="none"/>
        </w:rPr>
      </w:pPr>
    </w:p>
    <w:p w14:paraId="0B059990">
      <w:pPr>
        <w:ind w:firstLine="396"/>
        <w:rPr>
          <w:rFonts w:ascii="宋体" w:hAnsi="宋体" w:eastAsia="宋体"/>
          <w:color w:val="auto"/>
          <w:spacing w:val="-6"/>
          <w:sz w:val="21"/>
          <w:szCs w:val="21"/>
          <w:highlight w:val="none"/>
        </w:rPr>
      </w:pPr>
    </w:p>
    <w:p w14:paraId="0CBEB376">
      <w:pPr>
        <w:pStyle w:val="15"/>
        <w:ind w:firstLine="396"/>
        <w:rPr>
          <w:rFonts w:ascii="宋体" w:hAnsi="宋体" w:eastAsia="宋体"/>
          <w:color w:val="auto"/>
          <w:spacing w:val="-6"/>
          <w:sz w:val="21"/>
          <w:szCs w:val="21"/>
          <w:highlight w:val="none"/>
        </w:rPr>
      </w:pPr>
    </w:p>
    <w:p w14:paraId="5603063E">
      <w:pPr>
        <w:pStyle w:val="36"/>
        <w:ind w:firstLine="198"/>
        <w:rPr>
          <w:rFonts w:ascii="宋体" w:hAnsi="宋体" w:eastAsia="宋体"/>
          <w:color w:val="auto"/>
          <w:spacing w:val="-6"/>
          <w:sz w:val="21"/>
          <w:szCs w:val="21"/>
          <w:highlight w:val="none"/>
        </w:rPr>
      </w:pPr>
    </w:p>
    <w:p w14:paraId="5FC36BA5">
      <w:pPr>
        <w:ind w:firstLine="396"/>
        <w:rPr>
          <w:rFonts w:ascii="宋体" w:hAnsi="宋体" w:eastAsia="宋体"/>
          <w:color w:val="auto"/>
          <w:spacing w:val="-6"/>
          <w:sz w:val="21"/>
          <w:szCs w:val="21"/>
          <w:highlight w:val="none"/>
        </w:rPr>
      </w:pPr>
    </w:p>
    <w:p w14:paraId="35C5BC3E">
      <w:pPr>
        <w:pStyle w:val="15"/>
        <w:ind w:firstLine="396"/>
        <w:rPr>
          <w:rFonts w:ascii="宋体" w:hAnsi="宋体" w:eastAsia="宋体"/>
          <w:color w:val="auto"/>
          <w:spacing w:val="-6"/>
          <w:sz w:val="21"/>
          <w:szCs w:val="21"/>
          <w:highlight w:val="none"/>
        </w:rPr>
      </w:pPr>
    </w:p>
    <w:p w14:paraId="531EECA7">
      <w:pPr>
        <w:pStyle w:val="36"/>
        <w:ind w:firstLine="198"/>
        <w:rPr>
          <w:rFonts w:ascii="宋体" w:hAnsi="宋体" w:eastAsia="宋体"/>
          <w:color w:val="auto"/>
          <w:spacing w:val="-6"/>
          <w:sz w:val="21"/>
          <w:szCs w:val="21"/>
          <w:highlight w:val="none"/>
        </w:rPr>
      </w:pPr>
    </w:p>
    <w:p w14:paraId="17568318">
      <w:pPr>
        <w:ind w:firstLine="396"/>
        <w:rPr>
          <w:rFonts w:ascii="宋体" w:hAnsi="宋体" w:eastAsia="宋体"/>
          <w:color w:val="auto"/>
          <w:spacing w:val="-6"/>
          <w:sz w:val="21"/>
          <w:szCs w:val="21"/>
          <w:highlight w:val="none"/>
        </w:rPr>
      </w:pPr>
    </w:p>
    <w:p w14:paraId="2A7FB9BB">
      <w:pPr>
        <w:pStyle w:val="15"/>
        <w:ind w:firstLine="396"/>
        <w:rPr>
          <w:rFonts w:ascii="宋体" w:hAnsi="宋体" w:eastAsia="宋体"/>
          <w:color w:val="auto"/>
          <w:spacing w:val="-6"/>
          <w:sz w:val="21"/>
          <w:szCs w:val="21"/>
          <w:highlight w:val="none"/>
        </w:rPr>
      </w:pPr>
    </w:p>
    <w:p w14:paraId="152C6DD8">
      <w:pPr>
        <w:pStyle w:val="36"/>
        <w:ind w:firstLine="198"/>
        <w:rPr>
          <w:rFonts w:ascii="宋体" w:hAnsi="宋体" w:eastAsia="宋体"/>
          <w:color w:val="auto"/>
          <w:spacing w:val="-6"/>
          <w:sz w:val="21"/>
          <w:szCs w:val="21"/>
          <w:highlight w:val="none"/>
        </w:rPr>
      </w:pPr>
    </w:p>
    <w:p w14:paraId="5ECF0FB9">
      <w:pPr>
        <w:ind w:firstLine="396"/>
        <w:rPr>
          <w:rFonts w:ascii="宋体" w:hAnsi="宋体" w:eastAsia="宋体"/>
          <w:color w:val="auto"/>
          <w:spacing w:val="-6"/>
          <w:sz w:val="21"/>
          <w:szCs w:val="21"/>
          <w:highlight w:val="none"/>
        </w:rPr>
      </w:pPr>
    </w:p>
    <w:p w14:paraId="5D3414D2">
      <w:pPr>
        <w:pStyle w:val="15"/>
        <w:ind w:firstLine="396"/>
        <w:rPr>
          <w:rFonts w:ascii="宋体" w:hAnsi="宋体" w:eastAsia="宋体"/>
          <w:color w:val="auto"/>
          <w:spacing w:val="-6"/>
          <w:sz w:val="21"/>
          <w:szCs w:val="21"/>
          <w:highlight w:val="none"/>
        </w:rPr>
      </w:pPr>
    </w:p>
    <w:p w14:paraId="032E0D34">
      <w:pPr>
        <w:pStyle w:val="36"/>
        <w:ind w:firstLine="198"/>
        <w:rPr>
          <w:rFonts w:ascii="宋体" w:hAnsi="宋体" w:eastAsia="宋体"/>
          <w:color w:val="auto"/>
          <w:spacing w:val="-6"/>
          <w:sz w:val="21"/>
          <w:szCs w:val="21"/>
          <w:highlight w:val="none"/>
        </w:rPr>
      </w:pPr>
    </w:p>
    <w:p w14:paraId="31466CEE">
      <w:pPr>
        <w:ind w:firstLine="396"/>
        <w:rPr>
          <w:rFonts w:ascii="宋体" w:hAnsi="宋体" w:eastAsia="宋体"/>
          <w:color w:val="auto"/>
          <w:spacing w:val="-6"/>
          <w:sz w:val="21"/>
          <w:szCs w:val="21"/>
          <w:highlight w:val="none"/>
        </w:rPr>
      </w:pPr>
    </w:p>
    <w:p w14:paraId="196EC8C6">
      <w:pPr>
        <w:pStyle w:val="15"/>
        <w:ind w:firstLine="396"/>
        <w:rPr>
          <w:rFonts w:ascii="宋体" w:hAnsi="宋体" w:eastAsia="宋体"/>
          <w:color w:val="auto"/>
          <w:spacing w:val="-6"/>
          <w:sz w:val="21"/>
          <w:szCs w:val="21"/>
          <w:highlight w:val="none"/>
        </w:rPr>
      </w:pPr>
    </w:p>
    <w:p w14:paraId="426A1881">
      <w:pPr>
        <w:pStyle w:val="36"/>
        <w:ind w:firstLine="198"/>
        <w:rPr>
          <w:rFonts w:ascii="宋体" w:hAnsi="宋体" w:eastAsia="宋体"/>
          <w:color w:val="auto"/>
          <w:spacing w:val="-6"/>
          <w:sz w:val="21"/>
          <w:szCs w:val="21"/>
          <w:highlight w:val="none"/>
        </w:rPr>
      </w:pPr>
    </w:p>
    <w:p w14:paraId="124276B7">
      <w:pPr>
        <w:ind w:firstLine="396"/>
        <w:rPr>
          <w:rFonts w:ascii="宋体" w:hAnsi="宋体" w:eastAsia="宋体"/>
          <w:color w:val="auto"/>
          <w:spacing w:val="-6"/>
          <w:sz w:val="21"/>
          <w:szCs w:val="21"/>
          <w:highlight w:val="none"/>
        </w:rPr>
      </w:pPr>
    </w:p>
    <w:p w14:paraId="1A86238F">
      <w:pPr>
        <w:pStyle w:val="48"/>
        <w:rPr>
          <w:color w:val="auto"/>
          <w:spacing w:val="-6"/>
          <w:sz w:val="21"/>
          <w:szCs w:val="21"/>
          <w:highlight w:val="none"/>
          <w:lang w:val="en-US"/>
        </w:rPr>
      </w:pPr>
    </w:p>
    <w:p w14:paraId="4AD6B0A6">
      <w:pPr>
        <w:pStyle w:val="48"/>
        <w:rPr>
          <w:color w:val="auto"/>
          <w:spacing w:val="-6"/>
          <w:sz w:val="21"/>
          <w:szCs w:val="21"/>
          <w:highlight w:val="none"/>
          <w:lang w:val="en-US"/>
        </w:rPr>
      </w:pPr>
    </w:p>
    <w:p w14:paraId="6475915D">
      <w:pPr>
        <w:pStyle w:val="48"/>
        <w:rPr>
          <w:color w:val="auto"/>
          <w:spacing w:val="-6"/>
          <w:sz w:val="21"/>
          <w:szCs w:val="21"/>
          <w:highlight w:val="none"/>
          <w:lang w:val="en-US"/>
        </w:rPr>
      </w:pPr>
    </w:p>
    <w:p w14:paraId="1617B70F">
      <w:pPr>
        <w:pStyle w:val="48"/>
        <w:rPr>
          <w:color w:val="auto"/>
          <w:spacing w:val="-6"/>
          <w:sz w:val="21"/>
          <w:szCs w:val="21"/>
          <w:highlight w:val="none"/>
          <w:lang w:val="en-US"/>
        </w:rPr>
      </w:pPr>
    </w:p>
    <w:p w14:paraId="2F31FEF6">
      <w:pPr>
        <w:pStyle w:val="48"/>
        <w:rPr>
          <w:color w:val="auto"/>
          <w:spacing w:val="-6"/>
          <w:sz w:val="21"/>
          <w:szCs w:val="21"/>
          <w:highlight w:val="none"/>
          <w:lang w:val="en-US"/>
        </w:rPr>
      </w:pPr>
    </w:p>
    <w:p w14:paraId="3669AB03">
      <w:pPr>
        <w:pStyle w:val="48"/>
        <w:rPr>
          <w:color w:val="auto"/>
          <w:spacing w:val="-6"/>
          <w:sz w:val="21"/>
          <w:szCs w:val="21"/>
          <w:highlight w:val="none"/>
          <w:lang w:val="en-US"/>
        </w:rPr>
      </w:pPr>
    </w:p>
    <w:p w14:paraId="2D72BB2C">
      <w:pPr>
        <w:pStyle w:val="48"/>
        <w:rPr>
          <w:color w:val="auto"/>
          <w:spacing w:val="-6"/>
          <w:sz w:val="21"/>
          <w:szCs w:val="21"/>
          <w:highlight w:val="none"/>
          <w:lang w:val="en-US"/>
        </w:rPr>
      </w:pPr>
    </w:p>
    <w:p w14:paraId="7223A74F">
      <w:pPr>
        <w:pStyle w:val="48"/>
        <w:rPr>
          <w:color w:val="auto"/>
          <w:spacing w:val="-6"/>
          <w:sz w:val="21"/>
          <w:szCs w:val="21"/>
          <w:highlight w:val="none"/>
          <w:lang w:val="en-US"/>
        </w:rPr>
      </w:pPr>
    </w:p>
    <w:p w14:paraId="0CD86173">
      <w:pPr>
        <w:pStyle w:val="36"/>
        <w:ind w:firstLine="0" w:firstLineChars="0"/>
        <w:rPr>
          <w:color w:val="auto"/>
          <w:highlight w:val="none"/>
        </w:rPr>
      </w:pPr>
    </w:p>
    <w:p w14:paraId="1C1A0A44">
      <w:pPr>
        <w:spacing w:line="360" w:lineRule="auto"/>
        <w:ind w:firstLine="0" w:firstLineChars="0"/>
        <w:jc w:val="center"/>
        <w:rPr>
          <w:rFonts w:ascii="宋体" w:hAnsi="宋体" w:cs="宋体"/>
          <w:b/>
          <w:bCs/>
          <w:color w:val="auto"/>
          <w:sz w:val="32"/>
          <w:szCs w:val="20"/>
          <w:highlight w:val="none"/>
        </w:rPr>
      </w:pPr>
    </w:p>
    <w:p w14:paraId="4F7F3BC2">
      <w:pPr>
        <w:spacing w:line="360" w:lineRule="auto"/>
        <w:ind w:firstLine="0" w:firstLineChars="0"/>
        <w:jc w:val="center"/>
        <w:rPr>
          <w:color w:val="auto"/>
          <w:highlight w:val="none"/>
        </w:rPr>
      </w:pPr>
      <w:r>
        <w:rPr>
          <w:rFonts w:hint="eastAsia" w:ascii="宋体" w:hAnsi="宋体" w:cs="宋体"/>
          <w:b/>
          <w:bCs/>
          <w:color w:val="auto"/>
          <w:sz w:val="32"/>
          <w:szCs w:val="20"/>
          <w:highlight w:val="none"/>
        </w:rPr>
        <w:t>（三）报价文件</w:t>
      </w:r>
    </w:p>
    <w:p w14:paraId="34D438C4">
      <w:pPr>
        <w:spacing w:line="480" w:lineRule="auto"/>
        <w:ind w:firstLine="482"/>
        <w:rPr>
          <w:rFonts w:ascii="宋体" w:hAnsi="宋体" w:cs="宋体"/>
          <w:b/>
          <w:color w:val="auto"/>
          <w:highlight w:val="none"/>
        </w:rPr>
      </w:pPr>
      <w:bookmarkStart w:id="333" w:name="_Toc336683578"/>
      <w:bookmarkStart w:id="334" w:name="_Toc345575538"/>
      <w:r>
        <w:rPr>
          <w:rFonts w:hint="eastAsia" w:ascii="宋体" w:hAnsi="宋体" w:cs="宋体"/>
          <w:b/>
          <w:color w:val="auto"/>
          <w:highlight w:val="none"/>
        </w:rPr>
        <w:t>一、投标函格式</w:t>
      </w:r>
      <w:bookmarkEnd w:id="333"/>
      <w:bookmarkEnd w:id="334"/>
    </w:p>
    <w:p w14:paraId="61D1541D">
      <w:pPr>
        <w:spacing w:line="480" w:lineRule="auto"/>
        <w:ind w:firstLine="643"/>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投标函</w:t>
      </w:r>
    </w:p>
    <w:p w14:paraId="5B44FFCC">
      <w:pPr>
        <w:pStyle w:val="19"/>
        <w:adjustRightInd w:val="0"/>
        <w:snapToGrid w:val="0"/>
        <w:spacing w:line="480" w:lineRule="auto"/>
        <w:ind w:firstLine="42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lang w:eastAsia="zh-CN"/>
        </w:rPr>
        <w:t>龙游华水水业发展有限公司</w:t>
      </w:r>
      <w:r>
        <w:rPr>
          <w:rFonts w:hint="eastAsia" w:asciiTheme="minorEastAsia" w:hAnsiTheme="minorEastAsia" w:eastAsiaTheme="minorEastAsia" w:cstheme="minorEastAsia"/>
          <w:color w:val="auto"/>
          <w:highlight w:val="none"/>
        </w:rPr>
        <w:t>：</w:t>
      </w:r>
    </w:p>
    <w:p w14:paraId="29C0BC9C">
      <w:pPr>
        <w:pStyle w:val="19"/>
        <w:adjustRightInd w:val="0"/>
        <w:snapToGrid w:val="0"/>
        <w:spacing w:line="480" w:lineRule="auto"/>
        <w:ind w:firstLine="42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rPr>
        <w:t>泰宇建筑工程技术咨询有限公司</w:t>
      </w:r>
      <w:r>
        <w:rPr>
          <w:rFonts w:hint="eastAsia" w:asciiTheme="minorEastAsia" w:hAnsiTheme="minorEastAsia" w:eastAsiaTheme="minorEastAsia" w:cstheme="minorEastAsia"/>
          <w:color w:val="auto"/>
          <w:highlight w:val="none"/>
        </w:rPr>
        <w:t>：</w:t>
      </w:r>
    </w:p>
    <w:p w14:paraId="6C0348FD">
      <w:pPr>
        <w:pStyle w:val="19"/>
        <w:adjustRightInd w:val="0"/>
        <w:snapToGrid w:val="0"/>
        <w:spacing w:line="480" w:lineRule="auto"/>
        <w:ind w:firstLine="411" w:firstLineChars="196"/>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u w:val="single"/>
        </w:rPr>
        <w:t>（投标人全称）</w:t>
      </w:r>
      <w:r>
        <w:rPr>
          <w:rFonts w:hint="eastAsia" w:asciiTheme="minorEastAsia" w:hAnsiTheme="minorEastAsia" w:eastAsiaTheme="minorEastAsia" w:cstheme="minorEastAsia"/>
          <w:color w:val="auto"/>
          <w:highlight w:val="none"/>
        </w:rPr>
        <w:t>参加贵方组织的</w:t>
      </w:r>
      <w:r>
        <w:rPr>
          <w:rFonts w:hint="eastAsia" w:asciiTheme="minorEastAsia" w:hAnsiTheme="minorEastAsia" w:eastAsiaTheme="minorEastAsia" w:cstheme="minorEastAsia"/>
          <w:color w:val="auto"/>
          <w:highlight w:val="none"/>
          <w:u w:val="single"/>
        </w:rPr>
        <w:t>（项目名称）（项目编号）</w:t>
      </w:r>
      <w:r>
        <w:rPr>
          <w:rFonts w:hint="eastAsia" w:asciiTheme="minorEastAsia" w:hAnsiTheme="minorEastAsia" w:eastAsiaTheme="minorEastAsia" w:cstheme="minorEastAsia"/>
          <w:color w:val="auto"/>
          <w:highlight w:val="none"/>
        </w:rPr>
        <w:t>招标投标的有关活动。为此我方：</w:t>
      </w:r>
    </w:p>
    <w:p w14:paraId="58E6EAE8">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1、承诺在投标人</w:t>
      </w:r>
      <w:r>
        <w:rPr>
          <w:rFonts w:hint="eastAsia" w:asciiTheme="minorEastAsia" w:hAnsiTheme="minorEastAsia" w:eastAsiaTheme="minorEastAsia" w:cstheme="minorEastAsia"/>
          <w:color w:val="auto"/>
          <w:kern w:val="44"/>
          <w:sz w:val="21"/>
          <w:szCs w:val="21"/>
          <w:highlight w:val="none"/>
        </w:rPr>
        <w:t>须知</w:t>
      </w:r>
      <w:r>
        <w:rPr>
          <w:rFonts w:hint="eastAsia" w:asciiTheme="minorEastAsia" w:hAnsiTheme="minorEastAsia" w:eastAsiaTheme="minorEastAsia" w:cstheme="minorEastAsia"/>
          <w:color w:val="auto"/>
          <w:sz w:val="21"/>
          <w:szCs w:val="21"/>
          <w:highlight w:val="none"/>
        </w:rPr>
        <w:t>规定的投标截止日起遵守本投标文件中的承诺，且在投标有效期满之前均具有约束力。</w:t>
      </w:r>
    </w:p>
    <w:p w14:paraId="1D64C1C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2、承诺已经具备《中华人民共和国政府采购法》中规定的参加政府采购活动的投标人应当具备的条件及采购人规定的特定条件。</w:t>
      </w:r>
    </w:p>
    <w:p w14:paraId="1C91A9D3">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3、已详细审核全部采购文件，包括采购文件补充（如果有）、参考资料及有关附件，确认无误。</w:t>
      </w:r>
    </w:p>
    <w:p w14:paraId="5E30625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4、提供</w:t>
      </w:r>
      <w:r>
        <w:rPr>
          <w:rFonts w:hint="eastAsia" w:asciiTheme="minorEastAsia" w:hAnsiTheme="minorEastAsia" w:eastAsiaTheme="minorEastAsia" w:cstheme="minorEastAsia"/>
          <w:color w:val="auto"/>
          <w:kern w:val="44"/>
          <w:sz w:val="21"/>
          <w:szCs w:val="21"/>
          <w:highlight w:val="none"/>
        </w:rPr>
        <w:t>投标人须知</w:t>
      </w:r>
      <w:r>
        <w:rPr>
          <w:rFonts w:hint="eastAsia" w:asciiTheme="minorEastAsia" w:hAnsiTheme="minorEastAsia" w:eastAsiaTheme="minorEastAsia" w:cstheme="minorEastAsia"/>
          <w:color w:val="auto"/>
          <w:sz w:val="21"/>
          <w:szCs w:val="21"/>
          <w:highlight w:val="none"/>
        </w:rPr>
        <w:t>规定的全部投标文件。</w:t>
      </w:r>
    </w:p>
    <w:p w14:paraId="6A9A588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5、投标报价详见《开标一览表》。</w:t>
      </w:r>
    </w:p>
    <w:p w14:paraId="3634F75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6、保证遵守采购文件中的其他有关规定。</w:t>
      </w:r>
    </w:p>
    <w:p w14:paraId="74CE4045">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7、完全理解不一定接受最低价中标。</w:t>
      </w:r>
    </w:p>
    <w:p w14:paraId="2D4D501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8、愿意向贵方提供任何与该项目投标有关的数据、情况和技术资料。若贵方需要，愿意提供我方做出的一切承诺的证明材料。</w:t>
      </w:r>
    </w:p>
    <w:p w14:paraId="59810551">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9、保证忠实地执行双方所签订的合同，并承担合同规定的责任和义务。</w:t>
      </w:r>
    </w:p>
    <w:p w14:paraId="59C695B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6A43454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a）提供虚假材料谋取中标、成交的；</w:t>
      </w:r>
    </w:p>
    <w:p w14:paraId="71BCEE60">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b）采取不正当手段诋毁、排挤其他投标人的；</w:t>
      </w:r>
    </w:p>
    <w:p w14:paraId="76891966">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c）与采购人、其它投标人或者采购代理机构恶意串通的；</w:t>
      </w:r>
    </w:p>
    <w:p w14:paraId="75422692">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d）向采购人、采购代理机构行贿或者提供其他不正当利益的；</w:t>
      </w:r>
    </w:p>
    <w:p w14:paraId="56EACFEB">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e）在采购采购过程中与采购人进行协商谈判的；</w:t>
      </w:r>
    </w:p>
    <w:p w14:paraId="1EF7CB90">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f）拒绝有关部门监督检查或提供虚假情况的。</w:t>
      </w:r>
    </w:p>
    <w:p w14:paraId="47E0A804">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投标人有前款第a）至e）项情形之一的，中标、成交无效。</w:t>
      </w:r>
    </w:p>
    <w:p w14:paraId="1E92DE74">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11、本投标文件的有效期为自投标截止时间起</w:t>
      </w:r>
      <w:r>
        <w:rPr>
          <w:rFonts w:hint="eastAsia" w:asciiTheme="minorEastAsia" w:hAnsiTheme="minorEastAsia" w:eastAsiaTheme="minorEastAsia" w:cstheme="minorEastAsia"/>
          <w:color w:val="auto"/>
          <w:sz w:val="21"/>
          <w:szCs w:val="21"/>
          <w:highlight w:val="none"/>
          <w:u w:val="single"/>
        </w:rPr>
        <w:t>90</w:t>
      </w:r>
      <w:r>
        <w:rPr>
          <w:rFonts w:hint="eastAsia" w:asciiTheme="minorEastAsia" w:hAnsiTheme="minorEastAsia" w:eastAsiaTheme="minorEastAsia" w:cstheme="minorEastAsia"/>
          <w:color w:val="auto"/>
          <w:sz w:val="21"/>
          <w:szCs w:val="21"/>
          <w:highlight w:val="none"/>
        </w:rPr>
        <w:t>天。</w:t>
      </w:r>
    </w:p>
    <w:p w14:paraId="1C0458EE">
      <w:pPr>
        <w:adjustRightInd w:val="0"/>
        <w:snapToGrid w:val="0"/>
        <w:spacing w:line="360" w:lineRule="auto"/>
        <w:ind w:firstLine="420"/>
        <w:rPr>
          <w:rFonts w:asciiTheme="minorEastAsia" w:hAnsiTheme="minorEastAsia" w:eastAsiaTheme="minorEastAsia" w:cstheme="minorEastAsia"/>
          <w:color w:val="auto"/>
          <w:sz w:val="21"/>
          <w:szCs w:val="21"/>
          <w:highlight w:val="none"/>
        </w:rPr>
      </w:pPr>
    </w:p>
    <w:p w14:paraId="0A0BEAE1">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投标人全称（盖单位公章）：</w:t>
      </w:r>
    </w:p>
    <w:p w14:paraId="0B364CEE">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法定代表人或其授权委托人（签字或盖章）：</w:t>
      </w:r>
    </w:p>
    <w:p w14:paraId="037AABA4">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日期：</w:t>
      </w:r>
    </w:p>
    <w:p w14:paraId="780F47DB">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单位地址：</w:t>
      </w:r>
    </w:p>
    <w:p w14:paraId="1F3648E5">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邮编：</w:t>
      </w:r>
    </w:p>
    <w:p w14:paraId="7C0A53AE">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电话：</w:t>
      </w:r>
    </w:p>
    <w:p w14:paraId="358D2277">
      <w:pPr>
        <w:pStyle w:val="19"/>
        <w:adjustRightInd w:val="0"/>
        <w:snapToGrid w:val="0"/>
        <w:spacing w:line="480" w:lineRule="auto"/>
        <w:ind w:firstLine="420"/>
        <w:rPr>
          <w:rFonts w:asciiTheme="minorEastAsia" w:hAnsiTheme="minorEastAsia" w:eastAsiaTheme="minorEastAsia" w:cstheme="minorEastAsia"/>
          <w:bCs/>
          <w:color w:val="auto"/>
          <w:highlight w:val="none"/>
        </w:rPr>
      </w:pPr>
      <w:r>
        <w:rPr>
          <w:rFonts w:hint="eastAsia" w:asciiTheme="minorEastAsia" w:hAnsiTheme="minorEastAsia" w:eastAsiaTheme="minorEastAsia" w:cstheme="minorEastAsia"/>
          <w:bCs/>
          <w:color w:val="auto"/>
          <w:highlight w:val="none"/>
        </w:rPr>
        <w:t>传真：</w:t>
      </w:r>
    </w:p>
    <w:p w14:paraId="3CEBDE15">
      <w:pPr>
        <w:adjustRightInd w:val="0"/>
        <w:snapToGrid w:val="0"/>
        <w:spacing w:line="480" w:lineRule="auto"/>
        <w:ind w:firstLine="420"/>
        <w:rPr>
          <w:rFonts w:ascii="宋体" w:hAnsi="宋体" w:cs="宋体"/>
          <w:color w:val="auto"/>
          <w:sz w:val="21"/>
          <w:szCs w:val="21"/>
          <w:highlight w:val="none"/>
        </w:rPr>
      </w:pPr>
      <w:r>
        <w:rPr>
          <w:rFonts w:hint="eastAsia" w:ascii="宋体" w:hAnsi="宋体" w:cs="宋体"/>
          <w:color w:val="auto"/>
          <w:sz w:val="21"/>
          <w:szCs w:val="21"/>
          <w:highlight w:val="none"/>
        </w:rPr>
        <w:t>注：未按照本投标函要求填报的将被视为非实质性响应投标，从而可能导致该投标被拒绝</w:t>
      </w:r>
    </w:p>
    <w:p w14:paraId="598E054C">
      <w:pPr>
        <w:ind w:firstLine="422"/>
        <w:rPr>
          <w:rFonts w:ascii="宋体" w:hAnsi="宋体" w:cs="宋体"/>
          <w:b/>
          <w:color w:val="auto"/>
          <w:sz w:val="21"/>
          <w:szCs w:val="21"/>
          <w:highlight w:val="none"/>
        </w:rPr>
      </w:pPr>
    </w:p>
    <w:p w14:paraId="41A7067B">
      <w:pPr>
        <w:ind w:firstLine="422"/>
        <w:rPr>
          <w:rFonts w:ascii="宋体" w:hAnsi="宋体" w:cs="宋体"/>
          <w:b/>
          <w:color w:val="auto"/>
          <w:sz w:val="21"/>
          <w:szCs w:val="21"/>
          <w:highlight w:val="none"/>
        </w:rPr>
      </w:pPr>
    </w:p>
    <w:p w14:paraId="56A5FE86">
      <w:pPr>
        <w:ind w:firstLine="422"/>
        <w:rPr>
          <w:rFonts w:ascii="宋体" w:hAnsi="宋体" w:cs="宋体"/>
          <w:b/>
          <w:color w:val="auto"/>
          <w:sz w:val="21"/>
          <w:szCs w:val="21"/>
          <w:highlight w:val="none"/>
        </w:rPr>
      </w:pPr>
    </w:p>
    <w:p w14:paraId="45F2A427">
      <w:pPr>
        <w:ind w:firstLine="482"/>
        <w:rPr>
          <w:rFonts w:ascii="宋体" w:hAnsi="宋体" w:cs="宋体"/>
          <w:b/>
          <w:color w:val="auto"/>
          <w:highlight w:val="none"/>
        </w:rPr>
      </w:pPr>
    </w:p>
    <w:p w14:paraId="4162B759">
      <w:pPr>
        <w:ind w:firstLine="482"/>
        <w:rPr>
          <w:rFonts w:ascii="宋体" w:hAnsi="宋体" w:cs="宋体"/>
          <w:b/>
          <w:color w:val="auto"/>
          <w:highlight w:val="none"/>
        </w:rPr>
      </w:pPr>
    </w:p>
    <w:p w14:paraId="448B5C07">
      <w:pPr>
        <w:ind w:left="480" w:firstLine="0" w:firstLineChars="0"/>
        <w:rPr>
          <w:color w:val="auto"/>
          <w:highlight w:val="none"/>
        </w:rPr>
      </w:pPr>
    </w:p>
    <w:p w14:paraId="06CB865F">
      <w:pPr>
        <w:ind w:left="480" w:firstLine="0" w:firstLineChars="0"/>
        <w:rPr>
          <w:color w:val="auto"/>
          <w:highlight w:val="none"/>
        </w:rPr>
      </w:pPr>
    </w:p>
    <w:p w14:paraId="0130C74F">
      <w:pPr>
        <w:ind w:left="480" w:firstLine="0" w:firstLineChars="0"/>
        <w:rPr>
          <w:color w:val="auto"/>
          <w:highlight w:val="none"/>
        </w:rPr>
      </w:pPr>
    </w:p>
    <w:p w14:paraId="1FD22C7A">
      <w:pPr>
        <w:ind w:left="480" w:firstLine="0" w:firstLineChars="0"/>
        <w:rPr>
          <w:color w:val="auto"/>
          <w:highlight w:val="none"/>
        </w:rPr>
      </w:pPr>
    </w:p>
    <w:p w14:paraId="095189FC">
      <w:pPr>
        <w:ind w:left="480" w:firstLine="0" w:firstLineChars="0"/>
        <w:rPr>
          <w:color w:val="auto"/>
          <w:highlight w:val="none"/>
        </w:rPr>
      </w:pPr>
    </w:p>
    <w:p w14:paraId="1AD77992">
      <w:pPr>
        <w:ind w:left="480" w:firstLine="0" w:firstLineChars="0"/>
        <w:rPr>
          <w:color w:val="auto"/>
          <w:highlight w:val="none"/>
        </w:rPr>
      </w:pPr>
    </w:p>
    <w:p w14:paraId="02342AF8">
      <w:pPr>
        <w:ind w:left="480" w:firstLine="0" w:firstLineChars="0"/>
        <w:rPr>
          <w:color w:val="auto"/>
          <w:highlight w:val="none"/>
        </w:rPr>
      </w:pPr>
    </w:p>
    <w:p w14:paraId="16CCF0F3">
      <w:pPr>
        <w:ind w:left="480" w:firstLine="0" w:firstLineChars="0"/>
        <w:rPr>
          <w:color w:val="auto"/>
          <w:highlight w:val="none"/>
        </w:rPr>
      </w:pPr>
    </w:p>
    <w:p w14:paraId="1AC4AD18">
      <w:pPr>
        <w:ind w:left="480" w:firstLine="0" w:firstLineChars="0"/>
        <w:rPr>
          <w:color w:val="auto"/>
          <w:highlight w:val="none"/>
        </w:rPr>
      </w:pPr>
    </w:p>
    <w:p w14:paraId="2BF4292D">
      <w:pPr>
        <w:ind w:left="480" w:firstLine="0" w:firstLineChars="0"/>
        <w:rPr>
          <w:color w:val="auto"/>
          <w:highlight w:val="none"/>
        </w:rPr>
      </w:pPr>
    </w:p>
    <w:p w14:paraId="656A2E7B">
      <w:pPr>
        <w:ind w:left="480" w:firstLine="0" w:firstLineChars="0"/>
        <w:rPr>
          <w:color w:val="auto"/>
          <w:highlight w:val="none"/>
        </w:rPr>
      </w:pPr>
    </w:p>
    <w:p w14:paraId="0525E0C8">
      <w:pPr>
        <w:ind w:firstLine="482"/>
        <w:rPr>
          <w:rFonts w:ascii="宋体" w:hAnsi="宋体" w:cs="宋体"/>
          <w:b/>
          <w:color w:val="auto"/>
          <w:highlight w:val="none"/>
        </w:rPr>
      </w:pPr>
      <w:bookmarkStart w:id="335" w:name="_Toc345575539"/>
      <w:bookmarkStart w:id="336" w:name="_Toc336683579"/>
    </w:p>
    <w:p w14:paraId="3B14C11B">
      <w:pPr>
        <w:pStyle w:val="11"/>
        <w:ind w:left="480" w:firstLine="482"/>
        <w:rPr>
          <w:rFonts w:ascii="宋体" w:hAnsi="宋体" w:cs="宋体"/>
          <w:b/>
          <w:color w:val="auto"/>
          <w:highlight w:val="none"/>
        </w:rPr>
      </w:pPr>
    </w:p>
    <w:p w14:paraId="672F39D6">
      <w:pPr>
        <w:ind w:firstLine="480"/>
        <w:rPr>
          <w:color w:val="auto"/>
          <w:highlight w:val="none"/>
        </w:rPr>
      </w:pPr>
    </w:p>
    <w:p w14:paraId="7BD5E522">
      <w:pPr>
        <w:ind w:firstLine="482"/>
        <w:rPr>
          <w:rFonts w:ascii="宋体" w:hAnsi="宋体" w:cs="宋体"/>
          <w:b/>
          <w:color w:val="auto"/>
          <w:highlight w:val="none"/>
        </w:rPr>
      </w:pPr>
    </w:p>
    <w:p w14:paraId="77C49B8B">
      <w:pPr>
        <w:ind w:firstLine="0" w:firstLineChars="0"/>
        <w:rPr>
          <w:rFonts w:ascii="宋体" w:hAnsi="宋体" w:eastAsia="宋体" w:cs="宋体"/>
          <w:b/>
          <w:color w:val="auto"/>
          <w:highlight w:val="none"/>
        </w:rPr>
      </w:pPr>
      <w:r>
        <w:rPr>
          <w:rFonts w:hint="eastAsia" w:ascii="宋体" w:hAnsi="宋体" w:cs="宋体"/>
          <w:b/>
          <w:color w:val="auto"/>
          <w:highlight w:val="none"/>
        </w:rPr>
        <w:t>二、报价一览表格式</w:t>
      </w:r>
      <w:bookmarkEnd w:id="335"/>
      <w:bookmarkEnd w:id="336"/>
      <w:r>
        <w:rPr>
          <w:rFonts w:hint="eastAsia" w:ascii="宋体" w:hAnsi="宋体" w:cs="宋体"/>
          <w:b/>
          <w:color w:val="auto"/>
          <w:highlight w:val="none"/>
        </w:rPr>
        <w:t>1</w:t>
      </w:r>
    </w:p>
    <w:p w14:paraId="2C47A8A0">
      <w:pPr>
        <w:spacing w:line="360" w:lineRule="auto"/>
        <w:ind w:firstLine="482"/>
        <w:jc w:val="center"/>
        <w:rPr>
          <w:rFonts w:ascii="宋体" w:hAnsi="宋体" w:eastAsia="宋体" w:cs="宋体"/>
          <w:b/>
          <w:bCs/>
          <w:color w:val="auto"/>
          <w:highlight w:val="none"/>
        </w:rPr>
      </w:pPr>
      <w:r>
        <w:rPr>
          <w:rFonts w:hint="eastAsia" w:ascii="宋体" w:hAnsi="宋体" w:eastAsia="宋体" w:cs="宋体"/>
          <w:b/>
          <w:bCs/>
          <w:color w:val="auto"/>
          <w:highlight w:val="none"/>
        </w:rPr>
        <w:t>报价一览表</w:t>
      </w:r>
    </w:p>
    <w:p w14:paraId="393B431C">
      <w:pPr>
        <w:pStyle w:val="19"/>
        <w:adjustRightInd w:val="0"/>
        <w:snapToGrid w:val="0"/>
        <w:spacing w:line="360" w:lineRule="auto"/>
        <w:ind w:firstLine="480"/>
        <w:rPr>
          <w:rFonts w:hint="eastAsia" w:hAnsi="宋体" w:eastAsia="宋体"/>
          <w:color w:val="auto"/>
          <w:sz w:val="21"/>
          <w:szCs w:val="21"/>
          <w:highlight w:val="none"/>
          <w:u w:val="single"/>
          <w:lang w:eastAsia="zh-CN"/>
        </w:rPr>
      </w:pPr>
      <w:r>
        <w:rPr>
          <w:rFonts w:hint="eastAsia" w:hAnsi="宋体"/>
          <w:color w:val="auto"/>
          <w:sz w:val="21"/>
          <w:szCs w:val="21"/>
          <w:highlight w:val="none"/>
        </w:rPr>
        <w:t>项目名称：</w:t>
      </w:r>
      <w:r>
        <w:rPr>
          <w:rFonts w:hint="eastAsia" w:hAnsi="宋体"/>
          <w:color w:val="auto"/>
          <w:sz w:val="21"/>
          <w:szCs w:val="21"/>
          <w:highlight w:val="none"/>
          <w:lang w:eastAsia="zh-CN"/>
        </w:rPr>
        <w:t>2025年龙游华水水业发展有限公司劳务承包采购项目（重招）</w:t>
      </w:r>
    </w:p>
    <w:p w14:paraId="30A7E7FE">
      <w:pPr>
        <w:pStyle w:val="19"/>
        <w:adjustRightInd w:val="0"/>
        <w:snapToGrid w:val="0"/>
        <w:spacing w:line="360" w:lineRule="auto"/>
        <w:ind w:firstLine="480"/>
        <w:rPr>
          <w:rFonts w:hint="eastAsia" w:hAnsi="宋体" w:eastAsia="宋体"/>
          <w:color w:val="auto"/>
          <w:sz w:val="21"/>
          <w:szCs w:val="21"/>
          <w:highlight w:val="none"/>
          <w:u w:val="single"/>
          <w:lang w:eastAsia="zh-CN"/>
        </w:rPr>
      </w:pPr>
      <w:r>
        <w:rPr>
          <w:rFonts w:hint="eastAsia" w:hAnsi="宋体"/>
          <w:color w:val="auto"/>
          <w:sz w:val="21"/>
          <w:szCs w:val="21"/>
          <w:highlight w:val="none"/>
        </w:rPr>
        <w:t xml:space="preserve">项目编号： </w:t>
      </w:r>
      <w:r>
        <w:rPr>
          <w:rFonts w:hint="eastAsia" w:hAnsi="宋体"/>
          <w:color w:val="auto"/>
          <w:sz w:val="21"/>
          <w:szCs w:val="21"/>
          <w:highlight w:val="none"/>
          <w:lang w:eastAsia="zh-CN"/>
        </w:rPr>
        <w:t xml:space="preserve">LYCG2025TY-045 </w:t>
      </w:r>
    </w:p>
    <w:p w14:paraId="47326215">
      <w:pPr>
        <w:pStyle w:val="19"/>
        <w:adjustRightInd w:val="0"/>
        <w:snapToGrid w:val="0"/>
        <w:spacing w:line="360" w:lineRule="auto"/>
        <w:ind w:firstLine="480"/>
        <w:jc w:val="right"/>
        <w:rPr>
          <w:rFonts w:hAnsi="宋体"/>
          <w:color w:val="auto"/>
          <w:sz w:val="21"/>
          <w:szCs w:val="21"/>
          <w:highlight w:val="none"/>
        </w:rPr>
      </w:pPr>
      <w:r>
        <w:rPr>
          <w:rFonts w:hint="eastAsia" w:hAnsi="宋体"/>
          <w:color w:val="auto"/>
          <w:sz w:val="21"/>
          <w:szCs w:val="21"/>
          <w:highlight w:val="none"/>
        </w:rPr>
        <w:t>（价格单位：元人民币）</w:t>
      </w:r>
    </w:p>
    <w:tbl>
      <w:tblPr>
        <w:tblStyle w:val="3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3269"/>
        <w:gridCol w:w="3773"/>
        <w:gridCol w:w="1706"/>
      </w:tblGrid>
      <w:tr w14:paraId="7D30D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99" w:type="pct"/>
            <w:noWrap w:val="0"/>
            <w:vAlign w:val="center"/>
          </w:tcPr>
          <w:p w14:paraId="10889EA6">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序号</w:t>
            </w:r>
          </w:p>
        </w:tc>
        <w:tc>
          <w:tcPr>
            <w:tcW w:w="1719" w:type="pct"/>
            <w:noWrap w:val="0"/>
            <w:vAlign w:val="center"/>
          </w:tcPr>
          <w:p w14:paraId="1C65D708">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内    容</w:t>
            </w:r>
          </w:p>
        </w:tc>
        <w:tc>
          <w:tcPr>
            <w:tcW w:w="1984" w:type="pct"/>
            <w:noWrap w:val="0"/>
            <w:vAlign w:val="center"/>
          </w:tcPr>
          <w:p w14:paraId="31D4109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报价</w:t>
            </w:r>
          </w:p>
        </w:tc>
        <w:tc>
          <w:tcPr>
            <w:tcW w:w="897" w:type="pct"/>
            <w:noWrap w:val="0"/>
            <w:vAlign w:val="center"/>
          </w:tcPr>
          <w:p w14:paraId="167D96E6">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备注</w:t>
            </w:r>
          </w:p>
        </w:tc>
      </w:tr>
      <w:tr w14:paraId="7C3F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399" w:type="pct"/>
            <w:noWrap w:val="0"/>
            <w:vAlign w:val="center"/>
          </w:tcPr>
          <w:p w14:paraId="3ECA732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1719" w:type="pct"/>
            <w:noWrap w:val="0"/>
            <w:vAlign w:val="center"/>
          </w:tcPr>
          <w:p w14:paraId="0C196C45">
            <w:pPr>
              <w:keepNext w:val="0"/>
              <w:keepLines w:val="0"/>
              <w:pageBreakBefore w:val="0"/>
              <w:widowControl w:val="0"/>
              <w:kinsoku/>
              <w:wordWrap/>
              <w:overflowPunct/>
              <w:topLinePunct w:val="0"/>
              <w:autoSpaceDE/>
              <w:autoSpaceDN/>
              <w:bidi w:val="0"/>
              <w:adjustRightInd/>
              <w:ind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工资、福利、高温费等</w:t>
            </w:r>
          </w:p>
        </w:tc>
        <w:tc>
          <w:tcPr>
            <w:tcW w:w="1984" w:type="pct"/>
            <w:noWrap w:val="0"/>
            <w:vAlign w:val="center"/>
          </w:tcPr>
          <w:p w14:paraId="2CEDEC78">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248400元</w:t>
            </w:r>
          </w:p>
        </w:tc>
        <w:tc>
          <w:tcPr>
            <w:tcW w:w="897" w:type="pct"/>
            <w:noWrap w:val="0"/>
            <w:vAlign w:val="center"/>
          </w:tcPr>
          <w:p w14:paraId="584FA212">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固定报价</w:t>
            </w:r>
          </w:p>
        </w:tc>
      </w:tr>
      <w:tr w14:paraId="155C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99" w:type="pct"/>
            <w:noWrap w:val="0"/>
            <w:vAlign w:val="center"/>
          </w:tcPr>
          <w:p w14:paraId="77F646F3">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1719" w:type="pct"/>
            <w:noWrap w:val="0"/>
            <w:vAlign w:val="center"/>
          </w:tcPr>
          <w:p w14:paraId="721E6662">
            <w:pPr>
              <w:keepNext w:val="0"/>
              <w:keepLines w:val="0"/>
              <w:pageBreakBefore w:val="0"/>
              <w:widowControl w:val="0"/>
              <w:kinsoku/>
              <w:wordWrap/>
              <w:overflowPunct/>
              <w:topLinePunct w:val="0"/>
              <w:autoSpaceDE/>
              <w:autoSpaceDN/>
              <w:bidi w:val="0"/>
              <w:adjustRightInd/>
              <w:ind w:firstLine="0" w:firstLineChars="0"/>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管理费及税金</w:t>
            </w:r>
          </w:p>
        </w:tc>
        <w:tc>
          <w:tcPr>
            <w:tcW w:w="1984" w:type="pct"/>
            <w:noWrap w:val="0"/>
            <w:vAlign w:val="center"/>
          </w:tcPr>
          <w:p w14:paraId="06C2136A">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p>
        </w:tc>
        <w:tc>
          <w:tcPr>
            <w:tcW w:w="897" w:type="pct"/>
            <w:noWrap w:val="0"/>
            <w:vAlign w:val="center"/>
          </w:tcPr>
          <w:p w14:paraId="5634C52F">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p>
        </w:tc>
      </w:tr>
      <w:tr w14:paraId="0042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399" w:type="pct"/>
            <w:noWrap w:val="0"/>
            <w:vAlign w:val="center"/>
          </w:tcPr>
          <w:p w14:paraId="115F0DF5">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合计</w:t>
            </w:r>
          </w:p>
        </w:tc>
        <w:tc>
          <w:tcPr>
            <w:tcW w:w="4600" w:type="pct"/>
            <w:gridSpan w:val="3"/>
            <w:noWrap w:val="0"/>
            <w:vAlign w:val="center"/>
          </w:tcPr>
          <w:p w14:paraId="33FB08E7">
            <w:pPr>
              <w:keepNext w:val="0"/>
              <w:keepLines w:val="0"/>
              <w:pageBreakBefore w:val="0"/>
              <w:widowControl w:val="0"/>
              <w:kinsoku/>
              <w:wordWrap/>
              <w:overflowPunct/>
              <w:topLinePunct w:val="0"/>
              <w:autoSpaceDE/>
              <w:autoSpaceDN/>
              <w:bidi w:val="0"/>
              <w:adjustRightInd/>
              <w:ind w:firstLine="0" w:firstLineChars="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人民币大写：</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元整</w:t>
            </w:r>
          </w:p>
          <w:p w14:paraId="1116B793">
            <w:pPr>
              <w:pStyle w:val="15"/>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小写¥：</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元</w:t>
            </w:r>
          </w:p>
        </w:tc>
      </w:tr>
    </w:tbl>
    <w:p w14:paraId="14778F92">
      <w:pPr>
        <w:adjustRightInd w:val="0"/>
        <w:snapToGrid w:val="0"/>
        <w:spacing w:line="360" w:lineRule="auto"/>
        <w:ind w:firstLine="480"/>
        <w:rPr>
          <w:rFonts w:ascii="宋体" w:hAnsi="宋体" w:cs="宋体"/>
          <w:color w:val="auto"/>
          <w:sz w:val="21"/>
          <w:szCs w:val="21"/>
          <w:highlight w:val="none"/>
        </w:rPr>
      </w:pPr>
    </w:p>
    <w:p w14:paraId="7F2B6490">
      <w:pPr>
        <w:pStyle w:val="19"/>
        <w:adjustRightInd w:val="0"/>
        <w:snapToGrid w:val="0"/>
        <w:ind w:firstLine="420"/>
        <w:rPr>
          <w:rFonts w:hAnsi="宋体" w:cs="Arial"/>
          <w:color w:val="auto"/>
          <w:sz w:val="21"/>
          <w:szCs w:val="21"/>
          <w:highlight w:val="none"/>
        </w:rPr>
      </w:pPr>
      <w:r>
        <w:rPr>
          <w:rFonts w:hint="eastAsia" w:hAnsi="宋体"/>
          <w:color w:val="auto"/>
          <w:sz w:val="21"/>
          <w:szCs w:val="21"/>
          <w:highlight w:val="none"/>
        </w:rPr>
        <w:t xml:space="preserve">  </w:t>
      </w:r>
      <w:r>
        <w:rPr>
          <w:rFonts w:hAnsi="宋体" w:cs="Arial"/>
          <w:color w:val="auto"/>
          <w:sz w:val="21"/>
          <w:szCs w:val="21"/>
          <w:highlight w:val="none"/>
        </w:rPr>
        <w:t>报价说明：</w:t>
      </w:r>
    </w:p>
    <w:p w14:paraId="0B591F35">
      <w:pPr>
        <w:pStyle w:val="19"/>
        <w:adjustRightInd w:val="0"/>
        <w:snapToGrid w:val="0"/>
        <w:ind w:firstLine="420"/>
        <w:rPr>
          <w:rFonts w:hAnsi="宋体" w:cs="Arial"/>
          <w:color w:val="auto"/>
          <w:sz w:val="21"/>
          <w:szCs w:val="21"/>
          <w:highlight w:val="none"/>
        </w:rPr>
      </w:pPr>
      <w:r>
        <w:rPr>
          <w:rFonts w:hint="eastAsia" w:ascii="宋体" w:hAnsi="宋体" w:eastAsia="宋体" w:cs="Arial"/>
          <w:color w:val="auto"/>
          <w:sz w:val="21"/>
          <w:szCs w:val="21"/>
          <w:highlight w:val="none"/>
          <w:lang w:val="en-US" w:eastAsia="zh-CN"/>
        </w:rPr>
        <w:t>1、</w:t>
      </w:r>
      <w:r>
        <w:rPr>
          <w:rFonts w:hint="eastAsia" w:hAnsi="宋体" w:cs="Arial"/>
          <w:color w:val="auto"/>
          <w:sz w:val="21"/>
          <w:szCs w:val="21"/>
          <w:highlight w:val="none"/>
        </w:rPr>
        <w:t>本表内容完整填写，不得随意改变格式，采用印刷体打印，字迹清晰，否则以无效报价处理；</w:t>
      </w:r>
    </w:p>
    <w:p w14:paraId="0F34DF40">
      <w:pPr>
        <w:pStyle w:val="25"/>
        <w:spacing w:line="360" w:lineRule="auto"/>
        <w:ind w:firstLine="420"/>
        <w:rPr>
          <w:rFonts w:hint="eastAsia" w:ascii="宋体" w:hAnsi="宋体" w:eastAsia="宋体" w:cs="Arial"/>
          <w:color w:val="auto"/>
          <w:kern w:val="2"/>
          <w:sz w:val="21"/>
          <w:szCs w:val="21"/>
          <w:highlight w:val="none"/>
          <w:lang w:val="en-US" w:eastAsia="zh-CN" w:bidi="ar-SA"/>
        </w:rPr>
      </w:pPr>
      <w:r>
        <w:rPr>
          <w:rFonts w:hint="eastAsia" w:ascii="宋体" w:hAnsi="宋体" w:eastAsia="宋体" w:cs="Arial"/>
          <w:color w:val="auto"/>
          <w:kern w:val="2"/>
          <w:sz w:val="21"/>
          <w:szCs w:val="21"/>
          <w:highlight w:val="none"/>
          <w:lang w:val="en-US" w:eastAsia="zh-CN" w:bidi="ar-SA"/>
        </w:rPr>
        <w:t>2、投标报价应包括项目履行期间完成全部工作的所有费用，包含但不仅限于报价应为承包完成本次项目需完成全部工作所发生的所有费用，包括：工资、福利、高温费、节假日加班、社保、意外伤害保险、服装费、残保金、工会费等相关费用报价固定（计248400元），磋商供应商应结合本项目特点，市场行情及供应商自身的技术，管理水平，竞争能力，确定管理费及税金的（限价 30240元）最终报价。</w:t>
      </w:r>
    </w:p>
    <w:p w14:paraId="5243DF69">
      <w:pPr>
        <w:adjustRightInd w:val="0"/>
        <w:snapToGrid w:val="0"/>
        <w:spacing w:line="360" w:lineRule="auto"/>
        <w:ind w:firstLine="420"/>
        <w:jc w:val="left"/>
        <w:rPr>
          <w:rFonts w:hint="eastAsia" w:ascii="宋体" w:hAnsi="宋体" w:eastAsia="宋体" w:cs="Arial"/>
          <w:color w:val="auto"/>
          <w:kern w:val="2"/>
          <w:sz w:val="21"/>
          <w:szCs w:val="21"/>
          <w:highlight w:val="none"/>
          <w:lang w:val="en-US" w:eastAsia="zh-CN" w:bidi="ar-SA"/>
        </w:rPr>
      </w:pPr>
      <w:r>
        <w:rPr>
          <w:rFonts w:hint="eastAsia" w:ascii="宋体" w:hAnsi="宋体" w:eastAsia="宋体" w:cs="Arial"/>
          <w:color w:val="auto"/>
          <w:kern w:val="2"/>
          <w:sz w:val="21"/>
          <w:szCs w:val="21"/>
          <w:highlight w:val="none"/>
          <w:lang w:val="en-US" w:eastAsia="zh-CN" w:bidi="ar-SA"/>
        </w:rPr>
        <w:t>3、大写金额与小写金额不一致时，以大写金额为准。</w:t>
      </w:r>
    </w:p>
    <w:p w14:paraId="243D5ED8">
      <w:pPr>
        <w:adjustRightInd w:val="0"/>
        <w:snapToGrid w:val="0"/>
        <w:spacing w:line="360" w:lineRule="auto"/>
        <w:ind w:firstLine="480"/>
        <w:rPr>
          <w:rFonts w:ascii="宋体" w:hAnsi="宋体" w:cs="宋体"/>
          <w:color w:val="auto"/>
          <w:sz w:val="21"/>
          <w:szCs w:val="21"/>
          <w:highlight w:val="none"/>
        </w:rPr>
      </w:pPr>
    </w:p>
    <w:p w14:paraId="20D56119">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投标人全称（盖单位公章）：</w:t>
      </w:r>
    </w:p>
    <w:p w14:paraId="67898986">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法定代表人或其授权委托人（签字或盖章）：</w:t>
      </w:r>
      <w:bookmarkStart w:id="337" w:name="_Toc14182"/>
    </w:p>
    <w:p w14:paraId="7F483838">
      <w:pPr>
        <w:pStyle w:val="19"/>
        <w:adjustRightInd w:val="0"/>
        <w:snapToGrid w:val="0"/>
        <w:spacing w:line="360" w:lineRule="auto"/>
        <w:ind w:firstLine="420"/>
        <w:rPr>
          <w:rFonts w:hAnsi="宋体"/>
          <w:bCs/>
          <w:color w:val="auto"/>
          <w:sz w:val="21"/>
          <w:szCs w:val="21"/>
          <w:highlight w:val="none"/>
        </w:rPr>
      </w:pPr>
      <w:r>
        <w:rPr>
          <w:rFonts w:hint="eastAsia" w:hAnsi="宋体"/>
          <w:bCs/>
          <w:color w:val="auto"/>
          <w:sz w:val="21"/>
          <w:szCs w:val="21"/>
          <w:highlight w:val="none"/>
        </w:rPr>
        <w:t>日期：</w:t>
      </w:r>
      <w:bookmarkEnd w:id="337"/>
    </w:p>
    <w:p w14:paraId="6AB7DE3C">
      <w:pPr>
        <w:pStyle w:val="19"/>
        <w:adjustRightInd w:val="0"/>
        <w:snapToGrid w:val="0"/>
        <w:spacing w:line="360" w:lineRule="auto"/>
        <w:ind w:firstLine="420"/>
        <w:rPr>
          <w:rFonts w:hAnsi="宋体"/>
          <w:bCs/>
          <w:color w:val="auto"/>
          <w:sz w:val="24"/>
          <w:szCs w:val="24"/>
          <w:highlight w:val="none"/>
        </w:rPr>
      </w:pPr>
    </w:p>
    <w:p w14:paraId="2381CD20">
      <w:pPr>
        <w:ind w:firstLine="420"/>
        <w:rPr>
          <w:rFonts w:ascii="宋体" w:hAnsi="宋体" w:eastAsia="宋体" w:cs="宋体"/>
          <w:color w:val="auto"/>
          <w:sz w:val="21"/>
          <w:szCs w:val="21"/>
          <w:highlight w:val="none"/>
        </w:rPr>
      </w:pPr>
    </w:p>
    <w:p w14:paraId="6100696A">
      <w:pPr>
        <w:pStyle w:val="46"/>
        <w:ind w:firstLine="420"/>
        <w:rPr>
          <w:rFonts w:ascii="宋体" w:hAnsi="宋体" w:eastAsia="宋体" w:cs="宋体"/>
          <w:color w:val="auto"/>
          <w:kern w:val="2"/>
          <w:sz w:val="21"/>
          <w:szCs w:val="21"/>
          <w:highlight w:val="none"/>
        </w:rPr>
      </w:pPr>
    </w:p>
    <w:p w14:paraId="5BB38B01">
      <w:pPr>
        <w:pStyle w:val="15"/>
        <w:ind w:firstLine="420"/>
        <w:rPr>
          <w:rFonts w:ascii="宋体" w:hAnsi="宋体" w:eastAsia="宋体" w:cs="宋体"/>
          <w:color w:val="auto"/>
          <w:sz w:val="21"/>
          <w:szCs w:val="21"/>
          <w:highlight w:val="none"/>
        </w:rPr>
      </w:pPr>
    </w:p>
    <w:bookmarkEnd w:id="300"/>
    <w:p w14:paraId="5B1028D8">
      <w:pPr>
        <w:rPr>
          <w:rFonts w:hint="eastAsia"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br w:type="page"/>
      </w:r>
    </w:p>
    <w:p w14:paraId="7E828F59">
      <w:pPr>
        <w:ind w:firstLine="422"/>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b/>
          <w:color w:val="auto"/>
          <w:sz w:val="21"/>
          <w:szCs w:val="21"/>
          <w:highlight w:val="none"/>
        </w:rPr>
        <w:t>三、</w:t>
      </w:r>
      <w:r>
        <w:rPr>
          <w:rFonts w:hint="eastAsia" w:asciiTheme="majorEastAsia" w:hAnsiTheme="majorEastAsia" w:eastAsiaTheme="majorEastAsia" w:cstheme="majorEastAsia"/>
          <w:b/>
          <w:bCs/>
          <w:color w:val="auto"/>
          <w:sz w:val="21"/>
          <w:szCs w:val="21"/>
          <w:highlight w:val="none"/>
        </w:rPr>
        <w:t>中小企业声明函、监狱企业、残疾人福利性单位</w:t>
      </w:r>
    </w:p>
    <w:p w14:paraId="51FFF6BE">
      <w:pPr>
        <w:pStyle w:val="15"/>
        <w:spacing w:before="5"/>
        <w:ind w:firstLine="0" w:firstLineChars="0"/>
        <w:rPr>
          <w:rFonts w:ascii="宋体"/>
          <w:b/>
          <w:color w:val="auto"/>
          <w:sz w:val="18"/>
          <w:szCs w:val="18"/>
          <w:highlight w:val="none"/>
        </w:rPr>
      </w:pPr>
    </w:p>
    <w:p w14:paraId="2556EA2B">
      <w:pPr>
        <w:spacing w:line="360" w:lineRule="auto"/>
        <w:ind w:firstLine="643"/>
        <w:jc w:val="center"/>
        <w:rPr>
          <w:rFonts w:ascii="宋体" w:hAnsi="宋体" w:eastAsia="宋体" w:cs="宋体"/>
          <w:b/>
          <w:bCs/>
          <w:color w:val="auto"/>
          <w:sz w:val="32"/>
          <w:szCs w:val="32"/>
          <w:highlight w:val="none"/>
        </w:rPr>
      </w:pPr>
      <w:r>
        <w:rPr>
          <w:rFonts w:hint="eastAsia" w:ascii="宋体" w:hAnsi="宋体" w:cs="宋体"/>
          <w:b/>
          <w:bCs/>
          <w:color w:val="auto"/>
          <w:sz w:val="32"/>
          <w:szCs w:val="32"/>
          <w:highlight w:val="none"/>
        </w:rPr>
        <w:t>中小企业声明函（</w:t>
      </w:r>
      <w:r>
        <w:rPr>
          <w:rFonts w:hint="eastAsia" w:ascii="宋体" w:hAnsi="宋体" w:cs="宋体"/>
          <w:b/>
          <w:bCs/>
          <w:color w:val="auto"/>
          <w:sz w:val="32"/>
          <w:szCs w:val="32"/>
          <w:highlight w:val="none"/>
          <w:lang w:val="en-US" w:eastAsia="zh-CN"/>
        </w:rPr>
        <w:t>服务</w:t>
      </w:r>
      <w:r>
        <w:rPr>
          <w:rFonts w:hint="eastAsia" w:ascii="宋体" w:hAnsi="宋体" w:cs="宋体"/>
          <w:b/>
          <w:bCs/>
          <w:color w:val="auto"/>
          <w:sz w:val="32"/>
          <w:szCs w:val="32"/>
          <w:highlight w:val="none"/>
        </w:rPr>
        <w:t>）</w:t>
      </w:r>
    </w:p>
    <w:p w14:paraId="402BF1C3">
      <w:pPr>
        <w:widowControl/>
        <w:snapToGrid w:val="0"/>
        <w:spacing w:line="324" w:lineRule="auto"/>
        <w:ind w:firstLine="480"/>
        <w:jc w:val="center"/>
        <w:outlineLvl w:val="0"/>
        <w:rPr>
          <w:rFonts w:asciiTheme="minorEastAsia" w:hAnsiTheme="minorEastAsia" w:eastAsiaTheme="minorEastAsia" w:cstheme="minorEastAsia"/>
          <w:color w:val="auto"/>
          <w:kern w:val="0"/>
          <w:highlight w:val="none"/>
        </w:rPr>
      </w:pPr>
      <w:bookmarkStart w:id="338" w:name="_Toc22158"/>
      <w:bookmarkStart w:id="339" w:name="_Toc30187"/>
      <w:r>
        <w:rPr>
          <w:rFonts w:hint="eastAsia" w:asciiTheme="minorEastAsia" w:hAnsiTheme="minorEastAsia" w:eastAsiaTheme="minorEastAsia" w:cstheme="minorEastAsia"/>
          <w:color w:val="auto"/>
          <w:kern w:val="0"/>
          <w:highlight w:val="none"/>
        </w:rPr>
        <w:t>【不属于中小企业的无需填写、递交】</w:t>
      </w:r>
      <w:bookmarkEnd w:id="338"/>
      <w:bookmarkEnd w:id="339"/>
    </w:p>
    <w:p w14:paraId="4E9FA40E">
      <w:pPr>
        <w:pStyle w:val="7"/>
        <w:ind w:firstLine="480"/>
        <w:rPr>
          <w:color w:val="auto"/>
          <w:highlight w:val="none"/>
        </w:rPr>
      </w:pPr>
    </w:p>
    <w:p w14:paraId="727892DB">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本公司（联合体）郑重声明，根据《政府采购促进中小企业发展管理办法》（财库﹝2020﹞46号）的规定，本公司（联合体）参加</w:t>
      </w:r>
      <w:r>
        <w:rPr>
          <w:rFonts w:hint="eastAsia" w:asciiTheme="minorEastAsia" w:hAnsiTheme="minorEastAsia" w:eastAsiaTheme="minorEastAsia" w:cstheme="minorEastAsia"/>
          <w:color w:val="auto"/>
          <w:kern w:val="0"/>
          <w:sz w:val="21"/>
          <w:szCs w:val="21"/>
          <w:highlight w:val="none"/>
          <w:u w:val="single"/>
        </w:rPr>
        <w:t>（单位名称）</w:t>
      </w:r>
      <w:r>
        <w:rPr>
          <w:rFonts w:hint="eastAsia" w:asciiTheme="minorEastAsia" w:hAnsiTheme="minorEastAsia" w:eastAsiaTheme="minorEastAsia" w:cstheme="minorEastAsia"/>
          <w:color w:val="auto"/>
          <w:kern w:val="0"/>
          <w:sz w:val="21"/>
          <w:szCs w:val="21"/>
          <w:highlight w:val="none"/>
        </w:rPr>
        <w:t>的</w:t>
      </w: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采购活动，</w:t>
      </w:r>
      <w:r>
        <w:rPr>
          <w:rFonts w:hint="eastAsia" w:asciiTheme="minorEastAsia" w:hAnsiTheme="minorEastAsia" w:eastAsiaTheme="minorEastAsia" w:cstheme="minorEastAsia"/>
          <w:color w:val="auto"/>
          <w:kern w:val="0"/>
          <w:sz w:val="21"/>
          <w:szCs w:val="21"/>
          <w:highlight w:val="none"/>
          <w:lang w:val="en-US" w:eastAsia="zh-CN"/>
        </w:rPr>
        <w:t>工程的施工单位全部为符合政策要求的中小企业（或者：服务全部由符合政策要求的中小企业承接）。</w:t>
      </w:r>
      <w:r>
        <w:rPr>
          <w:rFonts w:hint="eastAsia" w:asciiTheme="minorEastAsia" w:hAnsiTheme="minorEastAsia" w:eastAsiaTheme="minorEastAsia" w:cstheme="minorEastAsia"/>
          <w:color w:val="auto"/>
          <w:kern w:val="0"/>
          <w:sz w:val="21"/>
          <w:szCs w:val="21"/>
          <w:highlight w:val="none"/>
        </w:rPr>
        <w:t>相关企业（含联合体中的中小企业、签订分包意向协议的中小企业）的具体情况如下：</w:t>
      </w:r>
    </w:p>
    <w:p w14:paraId="19831583">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1. </w:t>
      </w:r>
      <w:r>
        <w:rPr>
          <w:rFonts w:hint="eastAsia" w:asciiTheme="minorEastAsia" w:hAnsiTheme="minorEastAsia" w:eastAsiaTheme="minorEastAsia" w:cstheme="minorEastAsia"/>
          <w:color w:val="auto"/>
          <w:kern w:val="0"/>
          <w:sz w:val="21"/>
          <w:szCs w:val="21"/>
          <w:highlight w:val="none"/>
          <w:u w:val="single"/>
        </w:rPr>
        <w:t>（标的名称）</w:t>
      </w:r>
      <w:r>
        <w:rPr>
          <w:rFonts w:hint="eastAsia" w:asciiTheme="minorEastAsia" w:hAnsiTheme="minorEastAsia" w:eastAsiaTheme="minorEastAsia" w:cstheme="minorEastAsia"/>
          <w:color w:val="auto"/>
          <w:kern w:val="0"/>
          <w:sz w:val="21"/>
          <w:szCs w:val="21"/>
          <w:highlight w:val="none"/>
        </w:rPr>
        <w:t>，属于</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u w:val="single"/>
          <w:lang w:val="en-US" w:eastAsia="zh-CN"/>
        </w:rPr>
        <w:t>（采购文件中明确的所属行业）</w:t>
      </w:r>
      <w:r>
        <w:rPr>
          <w:rFonts w:hint="eastAsia" w:asciiTheme="minorEastAsia" w:hAnsiTheme="minorEastAsia" w:eastAsiaTheme="minorEastAsia" w:cstheme="minorEastAsia"/>
          <w:color w:val="auto"/>
          <w:kern w:val="0"/>
          <w:sz w:val="21"/>
          <w:szCs w:val="21"/>
          <w:highlight w:val="none"/>
          <w:u w:val="none"/>
          <w:lang w:val="en-US" w:eastAsia="zh-CN"/>
        </w:rPr>
        <w:t>行业</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承接企业</w:t>
      </w:r>
      <w:r>
        <w:rPr>
          <w:rFonts w:hint="eastAsia" w:asciiTheme="minorEastAsia" w:hAnsiTheme="minorEastAsia" w:eastAsiaTheme="minorEastAsia" w:cstheme="minorEastAsia"/>
          <w:color w:val="auto"/>
          <w:kern w:val="0"/>
          <w:sz w:val="21"/>
          <w:szCs w:val="21"/>
          <w:highlight w:val="none"/>
        </w:rPr>
        <w:t>为</w:t>
      </w:r>
      <w:r>
        <w:rPr>
          <w:rFonts w:hint="eastAsia" w:asciiTheme="minorEastAsia" w:hAnsiTheme="minorEastAsia" w:eastAsiaTheme="minorEastAsia" w:cstheme="minorEastAsia"/>
          <w:color w:val="auto"/>
          <w:kern w:val="0"/>
          <w:sz w:val="21"/>
          <w:szCs w:val="21"/>
          <w:highlight w:val="none"/>
          <w:u w:val="single"/>
        </w:rPr>
        <w:t xml:space="preserve"> （企业名称） </w:t>
      </w:r>
      <w:r>
        <w:rPr>
          <w:rFonts w:hint="eastAsia" w:asciiTheme="minorEastAsia" w:hAnsiTheme="minorEastAsia" w:eastAsiaTheme="minorEastAsia" w:cstheme="minorEastAsia"/>
          <w:color w:val="auto"/>
          <w:kern w:val="0"/>
          <w:sz w:val="21"/>
          <w:szCs w:val="21"/>
          <w:highlight w:val="none"/>
        </w:rPr>
        <w:t>，从业人员</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人，营业收入为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万元，资产总额为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w:t>
      </w:r>
      <w:r>
        <w:rPr>
          <w:rFonts w:hint="eastAsia" w:asciiTheme="minorEastAsia" w:hAnsiTheme="minorEastAsia" w:eastAsiaTheme="minorEastAsia" w:cstheme="minorEastAsia"/>
          <w:color w:val="auto"/>
          <w:kern w:val="0"/>
          <w:sz w:val="21"/>
          <w:szCs w:val="21"/>
          <w:highlight w:val="none"/>
          <w:vertAlign w:val="superscript"/>
        </w:rPr>
        <w:t>1</w:t>
      </w:r>
      <w:r>
        <w:rPr>
          <w:rFonts w:hint="eastAsia" w:asciiTheme="minorEastAsia" w:hAnsiTheme="minorEastAsia" w:eastAsiaTheme="minorEastAsia" w:cstheme="minorEastAsia"/>
          <w:color w:val="auto"/>
          <w:kern w:val="0"/>
          <w:sz w:val="21"/>
          <w:szCs w:val="21"/>
          <w:highlight w:val="none"/>
        </w:rPr>
        <w:t>，属于 （</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中型企业、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小型企业、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微型企业</w:t>
      </w:r>
      <w:r>
        <w:rPr>
          <w:rFonts w:hint="eastAsia" w:asciiTheme="minorEastAsia" w:hAnsiTheme="minorEastAsia" w:eastAsiaTheme="minorEastAsia" w:cstheme="minorEastAsia"/>
          <w:color w:val="auto"/>
          <w:kern w:val="0"/>
          <w:sz w:val="21"/>
          <w:szCs w:val="21"/>
          <w:highlight w:val="none"/>
        </w:rPr>
        <w:t>） ；</w:t>
      </w:r>
    </w:p>
    <w:p w14:paraId="0BEF2424">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2. </w:t>
      </w:r>
      <w:r>
        <w:rPr>
          <w:rFonts w:hint="eastAsia" w:asciiTheme="minorEastAsia" w:hAnsiTheme="minorEastAsia" w:eastAsiaTheme="minorEastAsia" w:cstheme="minorEastAsia"/>
          <w:color w:val="auto"/>
          <w:kern w:val="0"/>
          <w:sz w:val="21"/>
          <w:szCs w:val="21"/>
          <w:highlight w:val="none"/>
          <w:u w:val="single"/>
        </w:rPr>
        <w:t>（标的名称）</w:t>
      </w:r>
      <w:r>
        <w:rPr>
          <w:rFonts w:hint="eastAsia" w:asciiTheme="minorEastAsia" w:hAnsiTheme="minorEastAsia" w:eastAsiaTheme="minorEastAsia" w:cstheme="minorEastAsia"/>
          <w:color w:val="auto"/>
          <w:kern w:val="0"/>
          <w:sz w:val="21"/>
          <w:szCs w:val="21"/>
          <w:highlight w:val="none"/>
        </w:rPr>
        <w:t>，属于</w:t>
      </w:r>
      <w:r>
        <w:rPr>
          <w:rFonts w:hint="eastAsia" w:asciiTheme="minorEastAsia" w:hAnsiTheme="minorEastAsia" w:eastAsiaTheme="minorEastAsia" w:cstheme="minorEastAsia"/>
          <w:color w:val="auto"/>
          <w:kern w:val="0"/>
          <w:sz w:val="21"/>
          <w:szCs w:val="21"/>
          <w:highlight w:val="none"/>
          <w:u w:val="single"/>
          <w:lang w:val="en-US" w:eastAsia="zh-CN"/>
        </w:rPr>
        <w:t>（采购文件中明确的所属行业）</w:t>
      </w:r>
      <w:r>
        <w:rPr>
          <w:rFonts w:hint="eastAsia" w:asciiTheme="minorEastAsia" w:hAnsiTheme="minorEastAsia" w:eastAsiaTheme="minorEastAsia" w:cstheme="minorEastAsia"/>
          <w:color w:val="auto"/>
          <w:kern w:val="0"/>
          <w:sz w:val="21"/>
          <w:szCs w:val="21"/>
          <w:highlight w:val="none"/>
          <w:u w:val="none"/>
          <w:lang w:val="en-US" w:eastAsia="zh-CN"/>
        </w:rPr>
        <w:t>行业</w:t>
      </w:r>
      <w:r>
        <w:rPr>
          <w:rFonts w:hint="eastAsia" w:asciiTheme="minorEastAsia" w:hAnsiTheme="minorEastAsia" w:eastAsiaTheme="minorEastAsia" w:cstheme="minorEastAsia"/>
          <w:color w:val="auto"/>
          <w:kern w:val="0"/>
          <w:sz w:val="21"/>
          <w:szCs w:val="21"/>
          <w:highlight w:val="none"/>
        </w:rPr>
        <w:t xml:space="preserve"> ；</w:t>
      </w:r>
      <w:r>
        <w:rPr>
          <w:rFonts w:hint="eastAsia" w:asciiTheme="minorEastAsia" w:hAnsiTheme="minorEastAsia" w:eastAsiaTheme="minorEastAsia" w:cstheme="minorEastAsia"/>
          <w:color w:val="auto"/>
          <w:kern w:val="0"/>
          <w:sz w:val="21"/>
          <w:szCs w:val="21"/>
          <w:highlight w:val="none"/>
          <w:lang w:val="en-US" w:eastAsia="zh-CN"/>
        </w:rPr>
        <w:t>承接企业</w:t>
      </w:r>
      <w:r>
        <w:rPr>
          <w:rFonts w:hint="eastAsia" w:asciiTheme="minorEastAsia" w:hAnsiTheme="minorEastAsia" w:eastAsiaTheme="minorEastAsia" w:cstheme="minorEastAsia"/>
          <w:color w:val="auto"/>
          <w:kern w:val="0"/>
          <w:sz w:val="21"/>
          <w:szCs w:val="21"/>
          <w:highlight w:val="none"/>
        </w:rPr>
        <w:t>为</w:t>
      </w:r>
      <w:r>
        <w:rPr>
          <w:rFonts w:hint="eastAsia" w:asciiTheme="minorEastAsia" w:hAnsiTheme="minorEastAsia" w:eastAsiaTheme="minorEastAsia" w:cstheme="minorEastAsia"/>
          <w:color w:val="auto"/>
          <w:kern w:val="0"/>
          <w:sz w:val="21"/>
          <w:szCs w:val="21"/>
          <w:highlight w:val="none"/>
          <w:u w:val="single"/>
        </w:rPr>
        <w:t xml:space="preserve"> （企业名称） </w:t>
      </w:r>
      <w:r>
        <w:rPr>
          <w:rFonts w:hint="eastAsia" w:asciiTheme="minorEastAsia" w:hAnsiTheme="minorEastAsia" w:eastAsiaTheme="minorEastAsia" w:cstheme="minorEastAsia"/>
          <w:color w:val="auto"/>
          <w:kern w:val="0"/>
          <w:sz w:val="21"/>
          <w:szCs w:val="21"/>
          <w:highlight w:val="none"/>
        </w:rPr>
        <w:t>，从业人员</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人，营业收入为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万元，资产总额为</w:t>
      </w:r>
      <w:r>
        <w:rPr>
          <w:rFonts w:hint="eastAsia" w:asciiTheme="minorEastAsia" w:hAnsiTheme="minorEastAsia" w:eastAsiaTheme="minorEastAsia" w:cstheme="minorEastAsia"/>
          <w:color w:val="auto"/>
          <w:kern w:val="0"/>
          <w:sz w:val="21"/>
          <w:szCs w:val="21"/>
          <w:highlight w:val="none"/>
          <w:u w:val="single"/>
        </w:rPr>
        <w:t xml:space="preserve">      </w:t>
      </w:r>
      <w:r>
        <w:rPr>
          <w:rFonts w:hint="eastAsia" w:asciiTheme="minorEastAsia" w:hAnsiTheme="minorEastAsia" w:eastAsiaTheme="minorEastAsia" w:cstheme="minorEastAsia"/>
          <w:color w:val="auto"/>
          <w:kern w:val="0"/>
          <w:sz w:val="21"/>
          <w:szCs w:val="21"/>
          <w:highlight w:val="none"/>
        </w:rPr>
        <w:t>万元</w:t>
      </w:r>
      <w:r>
        <w:rPr>
          <w:rFonts w:hint="eastAsia" w:asciiTheme="minorEastAsia" w:hAnsiTheme="minorEastAsia" w:eastAsiaTheme="minorEastAsia" w:cstheme="minorEastAsia"/>
          <w:color w:val="auto"/>
          <w:kern w:val="0"/>
          <w:sz w:val="21"/>
          <w:szCs w:val="21"/>
          <w:highlight w:val="none"/>
          <w:vertAlign w:val="superscript"/>
        </w:rPr>
        <w:t>1</w:t>
      </w:r>
      <w:r>
        <w:rPr>
          <w:rFonts w:hint="eastAsia" w:asciiTheme="minorEastAsia" w:hAnsiTheme="minorEastAsia" w:eastAsiaTheme="minorEastAsia" w:cstheme="minorEastAsia"/>
          <w:color w:val="auto"/>
          <w:kern w:val="0"/>
          <w:sz w:val="21"/>
          <w:szCs w:val="21"/>
          <w:highlight w:val="none"/>
        </w:rPr>
        <w:t>，属于 （</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中型企业、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小型企业、</w:t>
      </w:r>
      <w:r>
        <w:rPr>
          <w:rFonts w:hint="eastAsia" w:ascii="宋体" w:hAnsi="宋体" w:eastAsia="宋体" w:cs="宋体"/>
          <w:color w:val="auto"/>
          <w:kern w:val="0"/>
          <w:sz w:val="21"/>
          <w:szCs w:val="21"/>
          <w:highlight w:val="none"/>
        </w:rPr>
        <w:t>□</w:t>
      </w:r>
      <w:r>
        <w:rPr>
          <w:rFonts w:hint="eastAsia" w:asciiTheme="minorEastAsia" w:hAnsiTheme="minorEastAsia" w:eastAsiaTheme="minorEastAsia" w:cstheme="minorEastAsia"/>
          <w:color w:val="auto"/>
          <w:kern w:val="0"/>
          <w:sz w:val="21"/>
          <w:szCs w:val="21"/>
          <w:highlight w:val="none"/>
          <w:u w:val="single"/>
        </w:rPr>
        <w:t>微型企业</w:t>
      </w:r>
      <w:r>
        <w:rPr>
          <w:rFonts w:hint="eastAsia" w:asciiTheme="minorEastAsia" w:hAnsiTheme="minorEastAsia" w:eastAsiaTheme="minorEastAsia" w:cstheme="minorEastAsia"/>
          <w:color w:val="auto"/>
          <w:kern w:val="0"/>
          <w:sz w:val="21"/>
          <w:szCs w:val="21"/>
          <w:highlight w:val="none"/>
        </w:rPr>
        <w:t>） ；</w:t>
      </w:r>
    </w:p>
    <w:p w14:paraId="3BE8DB37">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7DB8AE2E">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以上企业，不属于大企业的分支机构，不存在控股股东为大企业的情形，也不存在与大企业的负责人为同一人的情形。</w:t>
      </w:r>
    </w:p>
    <w:p w14:paraId="79D18078">
      <w:pPr>
        <w:widowControl/>
        <w:snapToGrid w:val="0"/>
        <w:spacing w:line="480" w:lineRule="auto"/>
        <w:ind w:firstLine="420"/>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本企业对上述声明内容的真实性负责。如有虚假，将依法承担相应责任。</w:t>
      </w:r>
    </w:p>
    <w:p w14:paraId="6D76F8CF">
      <w:pPr>
        <w:widowControl/>
        <w:snapToGrid w:val="0"/>
        <w:spacing w:line="480" w:lineRule="auto"/>
        <w:ind w:firstLine="420"/>
        <w:jc w:val="right"/>
        <w:rPr>
          <w:rFonts w:asciiTheme="minorEastAsia" w:hAnsiTheme="minorEastAsia" w:eastAsiaTheme="minorEastAsia" w:cstheme="minorEastAsia"/>
          <w:color w:val="auto"/>
          <w:kern w:val="0"/>
          <w:sz w:val="21"/>
          <w:szCs w:val="21"/>
          <w:highlight w:val="none"/>
        </w:rPr>
      </w:pPr>
    </w:p>
    <w:p w14:paraId="4D20389F">
      <w:pPr>
        <w:widowControl/>
        <w:snapToGrid w:val="0"/>
        <w:spacing w:line="480" w:lineRule="auto"/>
        <w:ind w:firstLine="42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投标人全称（公章）：</w:t>
      </w:r>
    </w:p>
    <w:p w14:paraId="74AE0309">
      <w:pPr>
        <w:widowControl/>
        <w:snapToGrid w:val="0"/>
        <w:spacing w:line="480" w:lineRule="auto"/>
        <w:ind w:firstLine="420"/>
        <w:jc w:val="center"/>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xml:space="preserve">                                                             </w:t>
      </w:r>
      <w:r>
        <w:rPr>
          <w:rFonts w:hint="eastAsia" w:asciiTheme="majorEastAsia" w:hAnsiTheme="majorEastAsia" w:eastAsiaTheme="majorEastAsia" w:cstheme="majorEastAsia"/>
          <w:color w:val="auto"/>
          <w:szCs w:val="21"/>
          <w:highlight w:val="none"/>
        </w:rPr>
        <w:t xml:space="preserve">  </w:t>
      </w:r>
      <w:r>
        <w:rPr>
          <w:rFonts w:hint="eastAsia" w:asciiTheme="minorEastAsia" w:hAnsiTheme="minorEastAsia" w:eastAsiaTheme="minorEastAsia" w:cstheme="minorEastAsia"/>
          <w:color w:val="auto"/>
          <w:sz w:val="21"/>
          <w:szCs w:val="21"/>
          <w:highlight w:val="none"/>
        </w:rPr>
        <w:t>日 期：  年  月  日</w:t>
      </w:r>
    </w:p>
    <w:p w14:paraId="41B3BDDF">
      <w:pPr>
        <w:pStyle w:val="9"/>
        <w:spacing w:line="480" w:lineRule="auto"/>
        <w:rPr>
          <w:rFonts w:asciiTheme="minorEastAsia" w:hAnsiTheme="minorEastAsia" w:eastAsiaTheme="minorEastAsia" w:cstheme="minorEastAsia"/>
          <w:color w:val="auto"/>
          <w:sz w:val="21"/>
          <w:szCs w:val="21"/>
          <w:highlight w:val="none"/>
        </w:rPr>
      </w:pPr>
    </w:p>
    <w:p w14:paraId="74288FF6">
      <w:pPr>
        <w:snapToGrid w:val="0"/>
        <w:spacing w:line="480" w:lineRule="auto"/>
        <w:ind w:right="480" w:firstLine="420"/>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zh-CN"/>
        </w:rPr>
        <w:t>注：</w:t>
      </w:r>
      <w:r>
        <w:rPr>
          <w:rFonts w:hint="eastAsia" w:asciiTheme="minorEastAsia" w:hAnsiTheme="minorEastAsia" w:eastAsiaTheme="minorEastAsia" w:cstheme="minorEastAsia"/>
          <w:color w:val="auto"/>
          <w:kern w:val="0"/>
          <w:sz w:val="21"/>
          <w:szCs w:val="21"/>
          <w:highlight w:val="none"/>
          <w:vertAlign w:val="superscript"/>
          <w:lang w:val="zh-CN"/>
        </w:rPr>
        <w:t>1</w:t>
      </w:r>
      <w:r>
        <w:rPr>
          <w:rFonts w:hint="eastAsia" w:asciiTheme="minorEastAsia" w:hAnsiTheme="minorEastAsia" w:eastAsiaTheme="minorEastAsia" w:cstheme="minorEastAsia"/>
          <w:color w:val="auto"/>
          <w:kern w:val="0"/>
          <w:sz w:val="21"/>
          <w:szCs w:val="21"/>
          <w:highlight w:val="none"/>
          <w:lang w:val="zh-CN"/>
        </w:rPr>
        <w:t>从业人员、营业收入、资产总额填报上一年度数据，无上一年度数据的新成立企业可不填报。</w:t>
      </w:r>
    </w:p>
    <w:p w14:paraId="3D32FCD4">
      <w:pPr>
        <w:numPr>
          <w:ilvl w:val="0"/>
          <w:numId w:val="11"/>
        </w:numPr>
        <w:snapToGrid w:val="0"/>
        <w:spacing w:line="480" w:lineRule="auto"/>
        <w:ind w:firstLine="420"/>
        <w:rPr>
          <w:rFonts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本项目所属行业见前附表。</w:t>
      </w:r>
    </w:p>
    <w:p w14:paraId="06DEBF51">
      <w:pPr>
        <w:pStyle w:val="11"/>
        <w:rPr>
          <w:rFonts w:hint="eastAsia" w:asciiTheme="minorEastAsia" w:hAnsiTheme="minorEastAsia" w:eastAsiaTheme="minorEastAsia" w:cstheme="minorEastAsia"/>
          <w:bCs/>
          <w:color w:val="auto"/>
          <w:sz w:val="21"/>
          <w:szCs w:val="21"/>
          <w:highlight w:val="none"/>
        </w:rPr>
      </w:pPr>
    </w:p>
    <w:p w14:paraId="5AF30301">
      <w:pPr>
        <w:pStyle w:val="11"/>
        <w:rPr>
          <w:color w:val="auto"/>
          <w:highlight w:val="none"/>
        </w:rPr>
      </w:pPr>
    </w:p>
    <w:p w14:paraId="12C3C30F">
      <w:pPr>
        <w:snapToGrid w:val="0"/>
        <w:ind w:firstLine="640"/>
        <w:jc w:val="center"/>
        <w:outlineLvl w:val="0"/>
        <w:rPr>
          <w:rFonts w:hint="eastAsia" w:ascii="华文中宋" w:hAnsi="华文中宋" w:eastAsia="华文中宋" w:cs="微软雅黑"/>
          <w:color w:val="auto"/>
          <w:sz w:val="32"/>
          <w:szCs w:val="32"/>
          <w:highlight w:val="none"/>
        </w:rPr>
      </w:pPr>
      <w:bookmarkStart w:id="340" w:name="_Toc12169"/>
      <w:bookmarkStart w:id="341" w:name="_Toc10629"/>
    </w:p>
    <w:p w14:paraId="12D5FD4A">
      <w:pPr>
        <w:snapToGrid w:val="0"/>
        <w:ind w:firstLine="640"/>
        <w:jc w:val="center"/>
        <w:outlineLvl w:val="0"/>
        <w:rPr>
          <w:rFonts w:ascii="华文中宋" w:hAnsi="华文中宋" w:eastAsia="华文中宋" w:cs="微软雅黑"/>
          <w:color w:val="auto"/>
          <w:sz w:val="32"/>
          <w:szCs w:val="32"/>
          <w:highlight w:val="none"/>
        </w:rPr>
      </w:pPr>
      <w:r>
        <w:rPr>
          <w:rFonts w:hint="eastAsia" w:ascii="华文中宋" w:hAnsi="华文中宋" w:eastAsia="华文中宋" w:cs="微软雅黑"/>
          <w:color w:val="auto"/>
          <w:sz w:val="32"/>
          <w:szCs w:val="32"/>
          <w:highlight w:val="none"/>
        </w:rPr>
        <w:t>监狱企业声明函</w:t>
      </w:r>
      <w:bookmarkEnd w:id="340"/>
      <w:bookmarkEnd w:id="341"/>
    </w:p>
    <w:p w14:paraId="02075898">
      <w:pPr>
        <w:snapToGrid w:val="0"/>
        <w:ind w:firstLine="640"/>
        <w:jc w:val="center"/>
        <w:outlineLvl w:val="0"/>
        <w:rPr>
          <w:rFonts w:ascii="华文中宋" w:hAnsi="华文中宋" w:eastAsia="华文中宋" w:cs="微软雅黑"/>
          <w:color w:val="auto"/>
          <w:sz w:val="32"/>
          <w:szCs w:val="32"/>
          <w:highlight w:val="none"/>
        </w:rPr>
      </w:pPr>
      <w:bookmarkStart w:id="342" w:name="_Toc26922"/>
      <w:bookmarkStart w:id="343" w:name="_Toc30066"/>
      <w:r>
        <w:rPr>
          <w:rFonts w:hint="eastAsia" w:ascii="华文中宋" w:hAnsi="华文中宋" w:eastAsia="华文中宋" w:cs="微软雅黑"/>
          <w:color w:val="auto"/>
          <w:sz w:val="32"/>
          <w:szCs w:val="32"/>
          <w:highlight w:val="none"/>
        </w:rPr>
        <w:t>【</w:t>
      </w:r>
      <w:r>
        <w:rPr>
          <w:rFonts w:hint="eastAsia" w:ascii="华文中宋" w:hAnsi="华文中宋" w:eastAsia="华文中宋" w:cs="微软雅黑"/>
          <w:color w:val="auto"/>
          <w:sz w:val="28"/>
          <w:szCs w:val="28"/>
          <w:highlight w:val="none"/>
        </w:rPr>
        <w:t>非监狱企业不需提供</w:t>
      </w:r>
      <w:r>
        <w:rPr>
          <w:rFonts w:hint="eastAsia" w:ascii="华文中宋" w:hAnsi="华文中宋" w:eastAsia="华文中宋" w:cs="微软雅黑"/>
          <w:color w:val="auto"/>
          <w:sz w:val="32"/>
          <w:szCs w:val="32"/>
          <w:highlight w:val="none"/>
        </w:rPr>
        <w:t>】</w:t>
      </w:r>
      <w:bookmarkEnd w:id="342"/>
      <w:bookmarkEnd w:id="343"/>
    </w:p>
    <w:p w14:paraId="5D53DD14">
      <w:pPr>
        <w:widowControl/>
        <w:adjustRightInd w:val="0"/>
        <w:snapToGrid w:val="0"/>
        <w:spacing w:line="480" w:lineRule="auto"/>
        <w:ind w:firstLine="420"/>
        <w:jc w:val="left"/>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本企业郑重声明，根据《关于政府采购支持监狱企业发展有关问题的通知》（财库[2014]68号）的规定，本企业为</w:t>
      </w:r>
      <w:r>
        <w:rPr>
          <w:rFonts w:hint="eastAsia" w:asciiTheme="minorEastAsia" w:hAnsiTheme="minorEastAsia" w:eastAsiaTheme="minorEastAsia" w:cstheme="minorEastAsia"/>
          <w:color w:val="auto"/>
          <w:sz w:val="21"/>
          <w:szCs w:val="21"/>
          <w:highlight w:val="none"/>
          <w:u w:val="single"/>
        </w:rPr>
        <w:t>监狱企业</w:t>
      </w:r>
      <w:r>
        <w:rPr>
          <w:rFonts w:hint="eastAsia" w:asciiTheme="minorEastAsia" w:hAnsiTheme="minorEastAsia" w:eastAsiaTheme="minorEastAsia" w:cstheme="minorEastAsia"/>
          <w:color w:val="auto"/>
          <w:sz w:val="21"/>
          <w:szCs w:val="21"/>
          <w:highlight w:val="none"/>
        </w:rPr>
        <w:t>。</w:t>
      </w:r>
    </w:p>
    <w:p w14:paraId="6C427A8F">
      <w:pPr>
        <w:widowControl/>
        <w:adjustRightInd w:val="0"/>
        <w:snapToGrid w:val="0"/>
        <w:spacing w:line="480" w:lineRule="auto"/>
        <w:ind w:firstLine="420"/>
        <w:jc w:val="left"/>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根据上述标准，我企业属于</w:t>
      </w:r>
      <w:r>
        <w:rPr>
          <w:rFonts w:hint="eastAsia" w:asciiTheme="minorEastAsia" w:hAnsiTheme="minorEastAsia" w:eastAsiaTheme="minorEastAsia" w:cstheme="minorEastAsia"/>
          <w:color w:val="auto"/>
          <w:sz w:val="21"/>
          <w:szCs w:val="21"/>
          <w:highlight w:val="none"/>
          <w:u w:val="single"/>
        </w:rPr>
        <w:t>监狱企业</w:t>
      </w:r>
      <w:r>
        <w:rPr>
          <w:rFonts w:hint="eastAsia" w:asciiTheme="minorEastAsia" w:hAnsiTheme="minorEastAsia" w:eastAsiaTheme="minorEastAsia" w:cstheme="minorEastAsia"/>
          <w:color w:val="auto"/>
          <w:sz w:val="21"/>
          <w:szCs w:val="21"/>
          <w:highlight w:val="none"/>
        </w:rPr>
        <w:t>的理由为：</w:t>
      </w:r>
    </w:p>
    <w:p w14:paraId="7A959971">
      <w:pPr>
        <w:widowControl/>
        <w:adjustRightInd w:val="0"/>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本企业为参加（项目名称：</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）（项目编号：</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）采购活动提供本企业的产品。</w:t>
      </w:r>
    </w:p>
    <w:p w14:paraId="479C838C">
      <w:pPr>
        <w:widowControl/>
        <w:adjustRightInd w:val="0"/>
        <w:snapToGrid w:val="0"/>
        <w:spacing w:line="480" w:lineRule="auto"/>
        <w:ind w:firstLine="420"/>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本企业对上述声明的真实性负责。如有虚假，将依法承担相应责任。</w:t>
      </w:r>
    </w:p>
    <w:p w14:paraId="0D54D87F">
      <w:pPr>
        <w:snapToGrid w:val="0"/>
        <w:spacing w:line="480" w:lineRule="auto"/>
        <w:ind w:firstLine="480"/>
        <w:rPr>
          <w:rFonts w:asciiTheme="minorEastAsia" w:hAnsiTheme="minorEastAsia" w:eastAsiaTheme="minorEastAsia" w:cstheme="minorEastAsia"/>
          <w:color w:val="auto"/>
          <w:highlight w:val="none"/>
          <w:lang w:val="zh-CN"/>
        </w:rPr>
      </w:pPr>
    </w:p>
    <w:p w14:paraId="1D61BB28">
      <w:pPr>
        <w:snapToGrid w:val="0"/>
        <w:spacing w:line="480" w:lineRule="auto"/>
        <w:ind w:firstLine="480"/>
        <w:rPr>
          <w:rFonts w:asciiTheme="minorEastAsia" w:hAnsiTheme="minorEastAsia" w:eastAsiaTheme="minorEastAsia" w:cstheme="minorEastAsia"/>
          <w:color w:val="auto"/>
          <w:highlight w:val="none"/>
          <w:lang w:val="zh-CN"/>
        </w:rPr>
      </w:pPr>
    </w:p>
    <w:p w14:paraId="19A2AB8C">
      <w:pPr>
        <w:snapToGrid w:val="0"/>
        <w:spacing w:line="480" w:lineRule="auto"/>
        <w:ind w:firstLine="480"/>
        <w:rPr>
          <w:rFonts w:asciiTheme="minorEastAsia" w:hAnsiTheme="minorEastAsia" w:eastAsiaTheme="minorEastAsia" w:cstheme="minorEastAsia"/>
          <w:color w:val="auto"/>
          <w:highlight w:val="none"/>
          <w:lang w:val="zh-CN"/>
        </w:rPr>
      </w:pPr>
    </w:p>
    <w:p w14:paraId="07AA3C4C">
      <w:pPr>
        <w:adjustRightInd w:val="0"/>
        <w:snapToGrid w:val="0"/>
        <w:spacing w:line="480" w:lineRule="auto"/>
        <w:ind w:firstLine="720" w:firstLineChars="300"/>
        <w:jc w:val="center"/>
        <w:rPr>
          <w:rFonts w:asciiTheme="minorEastAsia" w:hAnsiTheme="minorEastAsia" w:eastAsiaTheme="minorEastAsia" w:cstheme="minorEastAsia"/>
          <w:color w:val="auto"/>
          <w:sz w:val="21"/>
          <w:szCs w:val="21"/>
          <w:highlight w:val="none"/>
        </w:rPr>
      </w:pPr>
      <w:r>
        <w:rPr>
          <w:rFonts w:hint="eastAsia" w:asciiTheme="majorEastAsia" w:hAnsiTheme="majorEastAsia" w:eastAsiaTheme="majorEastAsia" w:cstheme="majorEastAsia"/>
          <w:color w:val="auto"/>
          <w:szCs w:val="21"/>
          <w:highlight w:val="none"/>
        </w:rPr>
        <w:t xml:space="preserve">                                         </w:t>
      </w:r>
      <w:r>
        <w:rPr>
          <w:rFonts w:hint="eastAsia" w:asciiTheme="majorEastAsia" w:hAnsiTheme="majorEastAsia" w:eastAsiaTheme="majorEastAsia" w:cstheme="majorEastAsia"/>
          <w:color w:val="auto"/>
          <w:sz w:val="21"/>
          <w:szCs w:val="21"/>
          <w:highlight w:val="none"/>
        </w:rPr>
        <w:t xml:space="preserve">  投标人全称</w:t>
      </w:r>
      <w:r>
        <w:rPr>
          <w:rFonts w:hint="eastAsia" w:asciiTheme="minorEastAsia" w:hAnsiTheme="minorEastAsia" w:eastAsiaTheme="minorEastAsia" w:cstheme="minorEastAsia"/>
          <w:color w:val="auto"/>
          <w:sz w:val="21"/>
          <w:szCs w:val="21"/>
          <w:highlight w:val="none"/>
        </w:rPr>
        <w:t>（盖章）：</w:t>
      </w:r>
    </w:p>
    <w:p w14:paraId="25FC008E">
      <w:pPr>
        <w:snapToGrid w:val="0"/>
        <w:spacing w:line="312" w:lineRule="auto"/>
        <w:ind w:firstLine="2940" w:firstLineChars="1400"/>
        <w:rPr>
          <w:rFonts w:ascii="华文中宋" w:hAnsi="华文中宋" w:eastAsia="华文中宋"/>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 xml:space="preserve">                           日 期：  年  月  日</w:t>
      </w:r>
    </w:p>
    <w:p w14:paraId="772B929F">
      <w:pPr>
        <w:snapToGrid w:val="0"/>
        <w:spacing w:line="312" w:lineRule="auto"/>
        <w:ind w:firstLine="480"/>
        <w:rPr>
          <w:rFonts w:ascii="华文中宋" w:hAnsi="华文中宋" w:eastAsia="华文中宋"/>
          <w:color w:val="auto"/>
          <w:highlight w:val="none"/>
          <w:lang w:val="zh-CN"/>
        </w:rPr>
      </w:pPr>
    </w:p>
    <w:p w14:paraId="004D65D7">
      <w:pPr>
        <w:snapToGrid w:val="0"/>
        <w:spacing w:line="312" w:lineRule="auto"/>
        <w:ind w:firstLine="480"/>
        <w:rPr>
          <w:rFonts w:ascii="华文中宋" w:hAnsi="华文中宋" w:eastAsia="华文中宋"/>
          <w:color w:val="auto"/>
          <w:highlight w:val="none"/>
          <w:lang w:val="zh-CN"/>
        </w:rPr>
      </w:pPr>
    </w:p>
    <w:p w14:paraId="2E3D1961">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供应商为监狱企业的提供此函。</w:t>
      </w:r>
    </w:p>
    <w:p w14:paraId="10CF1627">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监狱企业参加政府采购活动时，应当提供由省级以上监狱管理局、戒毒管理局（含新疆生产建设兵团）出具的属于监狱企业的证明文件。</w:t>
      </w:r>
    </w:p>
    <w:p w14:paraId="75019A52">
      <w:pPr>
        <w:spacing w:line="360" w:lineRule="auto"/>
        <w:ind w:firstLine="420"/>
        <w:rPr>
          <w:color w:val="auto"/>
          <w:sz w:val="21"/>
          <w:szCs w:val="21"/>
          <w:highlight w:val="none"/>
        </w:rPr>
      </w:pPr>
    </w:p>
    <w:p w14:paraId="17B5435B">
      <w:pPr>
        <w:ind w:firstLine="480"/>
        <w:rPr>
          <w:rFonts w:ascii="宋体" w:hAnsi="宋体"/>
          <w:color w:val="auto"/>
          <w:highlight w:val="none"/>
        </w:rPr>
      </w:pPr>
    </w:p>
    <w:p w14:paraId="3A1C119F">
      <w:pPr>
        <w:ind w:firstLine="480"/>
        <w:rPr>
          <w:rFonts w:ascii="宋体" w:hAnsi="宋体"/>
          <w:color w:val="auto"/>
          <w:highlight w:val="none"/>
        </w:rPr>
      </w:pPr>
    </w:p>
    <w:p w14:paraId="5E072FD6">
      <w:pPr>
        <w:ind w:firstLine="480"/>
        <w:rPr>
          <w:rFonts w:ascii="宋体" w:hAnsi="宋体"/>
          <w:color w:val="auto"/>
          <w:highlight w:val="none"/>
        </w:rPr>
      </w:pPr>
    </w:p>
    <w:p w14:paraId="4DC1D201">
      <w:pPr>
        <w:ind w:firstLine="480"/>
        <w:rPr>
          <w:rFonts w:ascii="宋体" w:hAnsi="宋体"/>
          <w:color w:val="auto"/>
          <w:highlight w:val="none"/>
        </w:rPr>
      </w:pPr>
    </w:p>
    <w:p w14:paraId="27FD18FF">
      <w:pPr>
        <w:ind w:firstLine="480"/>
        <w:rPr>
          <w:rFonts w:ascii="宋体" w:hAnsi="宋体"/>
          <w:color w:val="auto"/>
          <w:highlight w:val="none"/>
        </w:rPr>
      </w:pPr>
    </w:p>
    <w:p w14:paraId="4AC7864C">
      <w:pPr>
        <w:pStyle w:val="34"/>
        <w:ind w:firstLine="480"/>
        <w:rPr>
          <w:color w:val="auto"/>
          <w:highlight w:val="none"/>
        </w:rPr>
      </w:pPr>
    </w:p>
    <w:p w14:paraId="571B40CA">
      <w:pPr>
        <w:pStyle w:val="36"/>
        <w:ind w:firstLine="0" w:firstLineChars="0"/>
        <w:rPr>
          <w:rFonts w:ascii="宋体" w:hAnsi="宋体"/>
          <w:color w:val="auto"/>
          <w:highlight w:val="none"/>
        </w:rPr>
      </w:pPr>
    </w:p>
    <w:p w14:paraId="2B3C7A46">
      <w:pPr>
        <w:snapToGrid w:val="0"/>
        <w:ind w:firstLine="640"/>
        <w:jc w:val="center"/>
        <w:outlineLvl w:val="0"/>
        <w:rPr>
          <w:rFonts w:ascii="华文中宋" w:hAnsi="华文中宋" w:eastAsia="华文中宋" w:cs="微软雅黑"/>
          <w:color w:val="auto"/>
          <w:sz w:val="32"/>
          <w:szCs w:val="32"/>
          <w:highlight w:val="none"/>
        </w:rPr>
      </w:pPr>
      <w:bookmarkStart w:id="344" w:name="_Toc25359"/>
      <w:bookmarkStart w:id="345" w:name="_Toc8412"/>
      <w:r>
        <w:rPr>
          <w:rFonts w:hint="eastAsia" w:ascii="华文中宋" w:hAnsi="华文中宋" w:eastAsia="华文中宋" w:cs="微软雅黑"/>
          <w:color w:val="auto"/>
          <w:sz w:val="32"/>
          <w:szCs w:val="32"/>
          <w:highlight w:val="none"/>
        </w:rPr>
        <w:t>残疾人福利性单位声明函</w:t>
      </w:r>
      <w:bookmarkEnd w:id="344"/>
      <w:bookmarkEnd w:id="345"/>
    </w:p>
    <w:p w14:paraId="69D2918D">
      <w:pPr>
        <w:snapToGrid w:val="0"/>
        <w:ind w:firstLine="640"/>
        <w:jc w:val="center"/>
        <w:outlineLvl w:val="0"/>
        <w:rPr>
          <w:rFonts w:ascii="华文中宋" w:hAnsi="华文中宋" w:eastAsia="华文中宋" w:cs="微软雅黑"/>
          <w:color w:val="auto"/>
          <w:sz w:val="32"/>
          <w:szCs w:val="32"/>
          <w:highlight w:val="none"/>
        </w:rPr>
      </w:pPr>
      <w:bookmarkStart w:id="346" w:name="_Toc6168"/>
      <w:bookmarkStart w:id="347" w:name="_Toc12885"/>
      <w:r>
        <w:rPr>
          <w:rFonts w:hint="eastAsia" w:ascii="华文中宋" w:hAnsi="华文中宋" w:eastAsia="华文中宋" w:cs="微软雅黑"/>
          <w:color w:val="auto"/>
          <w:sz w:val="32"/>
          <w:szCs w:val="32"/>
          <w:highlight w:val="none"/>
        </w:rPr>
        <w:t>【</w:t>
      </w:r>
      <w:r>
        <w:rPr>
          <w:rFonts w:hint="eastAsia" w:ascii="华文中宋" w:hAnsi="华文中宋" w:eastAsia="华文中宋" w:cs="微软雅黑"/>
          <w:color w:val="auto"/>
          <w:sz w:val="28"/>
          <w:szCs w:val="28"/>
          <w:highlight w:val="none"/>
        </w:rPr>
        <w:t>非残疾人福利性单位不需提供</w:t>
      </w:r>
      <w:r>
        <w:rPr>
          <w:rFonts w:hint="eastAsia" w:ascii="华文中宋" w:hAnsi="华文中宋" w:eastAsia="华文中宋" w:cs="微软雅黑"/>
          <w:color w:val="auto"/>
          <w:sz w:val="32"/>
          <w:szCs w:val="32"/>
          <w:highlight w:val="none"/>
        </w:rPr>
        <w:t>】</w:t>
      </w:r>
      <w:bookmarkEnd w:id="346"/>
      <w:bookmarkEnd w:id="347"/>
    </w:p>
    <w:p w14:paraId="130B17DE">
      <w:pPr>
        <w:snapToGrid w:val="0"/>
        <w:spacing w:line="60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本单位郑重声明，根据《财政部民政部中国残疾人联合会关于促进残疾人就业政府采购政策的通知》（财库〔2017〕141号）的规定，本单位为符合条件的残疾人福利性单位，且本单位参加</w:t>
      </w:r>
      <w:r>
        <w:rPr>
          <w:rFonts w:hint="eastAsia" w:asciiTheme="majorEastAsia" w:hAnsiTheme="majorEastAsia" w:eastAsiaTheme="majorEastAsia" w:cstheme="majorEastAsia"/>
          <w:color w:val="auto"/>
          <w:sz w:val="21"/>
          <w:szCs w:val="21"/>
          <w:highlight w:val="none"/>
          <w:u w:val="single"/>
        </w:rPr>
        <w:t>（采购人名称）</w:t>
      </w:r>
      <w:r>
        <w:rPr>
          <w:rFonts w:hint="eastAsia" w:asciiTheme="majorEastAsia" w:hAnsiTheme="majorEastAsia" w:eastAsiaTheme="majorEastAsia" w:cstheme="majorEastAsia"/>
          <w:color w:val="auto"/>
          <w:sz w:val="21"/>
          <w:szCs w:val="21"/>
          <w:highlight w:val="none"/>
        </w:rPr>
        <w:t>单位的</w:t>
      </w:r>
      <w:r>
        <w:rPr>
          <w:rFonts w:hint="eastAsia" w:asciiTheme="majorEastAsia" w:hAnsiTheme="majorEastAsia" w:eastAsiaTheme="majorEastAsia" w:cstheme="majorEastAsia"/>
          <w:color w:val="auto"/>
          <w:sz w:val="21"/>
          <w:szCs w:val="21"/>
          <w:highlight w:val="none"/>
          <w:u w:val="single"/>
        </w:rPr>
        <w:t>（项目名称）</w:t>
      </w:r>
      <w:r>
        <w:rPr>
          <w:rFonts w:hint="eastAsia" w:asciiTheme="majorEastAsia" w:hAnsiTheme="majorEastAsia" w:eastAsiaTheme="majorEastAsia" w:cstheme="majorEastAsia"/>
          <w:color w:val="auto"/>
          <w:sz w:val="21"/>
          <w:szCs w:val="21"/>
          <w:highlight w:val="none"/>
        </w:rPr>
        <w:t>项目采购活动提供本单位制造的货物（由本单位承担工程/提供服务），或者提供其他残疾人福利性单位制造的货物（不包括使用非残疾人福利性单位注册商标的货物）。</w:t>
      </w:r>
    </w:p>
    <w:p w14:paraId="33323743">
      <w:pPr>
        <w:snapToGrid w:val="0"/>
        <w:spacing w:line="600" w:lineRule="auto"/>
        <w:ind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本单位对上述声明的真实性负责。如有虚假，将依法承担相应责任。</w:t>
      </w:r>
    </w:p>
    <w:p w14:paraId="50B76890">
      <w:pPr>
        <w:ind w:left="480" w:firstLine="0" w:firstLineChars="0"/>
        <w:rPr>
          <w:color w:val="auto"/>
          <w:sz w:val="21"/>
          <w:szCs w:val="21"/>
          <w:highlight w:val="none"/>
        </w:rPr>
      </w:pPr>
    </w:p>
    <w:p w14:paraId="650FA746">
      <w:pPr>
        <w:ind w:left="480" w:firstLine="0" w:firstLineChars="0"/>
        <w:rPr>
          <w:color w:val="auto"/>
          <w:sz w:val="21"/>
          <w:szCs w:val="21"/>
          <w:highlight w:val="none"/>
        </w:rPr>
      </w:pPr>
    </w:p>
    <w:p w14:paraId="6D2BBD79">
      <w:pPr>
        <w:pStyle w:val="50"/>
        <w:ind w:left="960" w:firstLine="420"/>
        <w:rPr>
          <w:color w:val="auto"/>
          <w:sz w:val="21"/>
          <w:szCs w:val="21"/>
          <w:highlight w:val="none"/>
          <w:lang w:val="zh-CN"/>
        </w:rPr>
      </w:pPr>
    </w:p>
    <w:p w14:paraId="75CACE25">
      <w:pPr>
        <w:adjustRightInd w:val="0"/>
        <w:snapToGrid w:val="0"/>
        <w:spacing w:line="480" w:lineRule="auto"/>
        <w:ind w:firstLine="630" w:firstLineChars="300"/>
        <w:jc w:val="center"/>
        <w:rPr>
          <w:rFonts w:asciiTheme="minorEastAsia" w:hAnsiTheme="minorEastAsia" w:eastAsiaTheme="minorEastAsia" w:cstheme="min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投标人全称</w:t>
      </w:r>
      <w:r>
        <w:rPr>
          <w:rFonts w:hint="eastAsia" w:asciiTheme="minorEastAsia" w:hAnsiTheme="minorEastAsia" w:eastAsiaTheme="minorEastAsia" w:cstheme="minorEastAsia"/>
          <w:color w:val="auto"/>
          <w:sz w:val="21"/>
          <w:szCs w:val="21"/>
          <w:highlight w:val="none"/>
        </w:rPr>
        <w:t>（盖章）：</w:t>
      </w:r>
    </w:p>
    <w:p w14:paraId="42104FE5">
      <w:pPr>
        <w:snapToGrid w:val="0"/>
        <w:spacing w:line="312" w:lineRule="auto"/>
        <w:ind w:firstLine="2940" w:firstLineChars="1400"/>
        <w:rPr>
          <w:rFonts w:ascii="华文中宋" w:hAnsi="华文中宋" w:eastAsia="华文中宋"/>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 xml:space="preserve">                           日 期：  年  月  日</w:t>
      </w:r>
    </w:p>
    <w:p w14:paraId="4D36602E">
      <w:pPr>
        <w:snapToGrid w:val="0"/>
        <w:spacing w:line="312" w:lineRule="auto"/>
        <w:ind w:firstLine="480"/>
        <w:rPr>
          <w:rFonts w:ascii="华文中宋" w:hAnsi="华文中宋" w:eastAsia="华文中宋"/>
          <w:color w:val="auto"/>
          <w:highlight w:val="none"/>
          <w:lang w:val="zh-CN"/>
        </w:rPr>
      </w:pPr>
    </w:p>
    <w:p w14:paraId="053B499F">
      <w:pPr>
        <w:snapToGrid w:val="0"/>
        <w:spacing w:line="312" w:lineRule="auto"/>
        <w:ind w:firstLine="480"/>
        <w:rPr>
          <w:rFonts w:ascii="华文中宋" w:hAnsi="华文中宋" w:eastAsia="华文中宋"/>
          <w:color w:val="auto"/>
          <w:highlight w:val="none"/>
          <w:lang w:val="zh-CN"/>
        </w:rPr>
      </w:pPr>
    </w:p>
    <w:p w14:paraId="265CCA61">
      <w:pPr>
        <w:snapToGrid w:val="0"/>
        <w:spacing w:line="312" w:lineRule="auto"/>
        <w:ind w:firstLine="480"/>
        <w:rPr>
          <w:rFonts w:ascii="华文中宋" w:hAnsi="华文中宋" w:eastAsia="华文中宋"/>
          <w:color w:val="auto"/>
          <w:highlight w:val="none"/>
          <w:lang w:val="zh-CN"/>
        </w:rPr>
      </w:pPr>
    </w:p>
    <w:p w14:paraId="2E7A06EB">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供应商为残疾人福利性单位的提供此函。</w:t>
      </w:r>
    </w:p>
    <w:p w14:paraId="71756648">
      <w:pPr>
        <w:widowControl/>
        <w:snapToGrid w:val="0"/>
        <w:spacing w:line="480" w:lineRule="exact"/>
        <w:ind w:firstLine="420"/>
        <w:rPr>
          <w:rFonts w:ascii="华文中宋" w:hAnsi="华文中宋" w:eastAsia="华文中宋" w:cs="宋体"/>
          <w:color w:val="auto"/>
          <w:sz w:val="21"/>
          <w:szCs w:val="21"/>
          <w:highlight w:val="none"/>
        </w:rPr>
      </w:pPr>
      <w:r>
        <w:rPr>
          <w:rFonts w:hint="eastAsia" w:ascii="华文中宋" w:hAnsi="华文中宋" w:eastAsia="华文中宋" w:cs="宋体"/>
          <w:color w:val="auto"/>
          <w:sz w:val="21"/>
          <w:szCs w:val="21"/>
          <w:highlight w:val="none"/>
        </w:rPr>
        <w:t>备注：中标供应商为残疾人福利性单位的，应当随中标结果同时公告其《残疾人福利性单位声明函》，接受社会监督。</w:t>
      </w:r>
    </w:p>
    <w:p w14:paraId="2F2B66E6">
      <w:pPr>
        <w:ind w:firstLine="723"/>
        <w:jc w:val="center"/>
        <w:rPr>
          <w:b/>
          <w:bCs/>
          <w:color w:val="auto"/>
          <w:sz w:val="36"/>
          <w:szCs w:val="36"/>
          <w:highlight w:val="none"/>
        </w:rPr>
      </w:pPr>
    </w:p>
    <w:p w14:paraId="75F74ADA">
      <w:pPr>
        <w:ind w:firstLine="723"/>
        <w:jc w:val="center"/>
        <w:rPr>
          <w:b/>
          <w:bCs/>
          <w:color w:val="auto"/>
          <w:sz w:val="36"/>
          <w:szCs w:val="36"/>
          <w:highlight w:val="none"/>
        </w:rPr>
      </w:pPr>
    </w:p>
    <w:p w14:paraId="62290A79">
      <w:pPr>
        <w:ind w:firstLine="723"/>
        <w:jc w:val="center"/>
        <w:rPr>
          <w:b/>
          <w:bCs/>
          <w:color w:val="auto"/>
          <w:sz w:val="36"/>
          <w:szCs w:val="36"/>
          <w:highlight w:val="none"/>
        </w:rPr>
      </w:pPr>
    </w:p>
    <w:p w14:paraId="47CF41ED">
      <w:pPr>
        <w:ind w:firstLine="723"/>
        <w:jc w:val="center"/>
        <w:rPr>
          <w:b/>
          <w:bCs/>
          <w:color w:val="auto"/>
          <w:sz w:val="36"/>
          <w:szCs w:val="36"/>
          <w:highlight w:val="none"/>
        </w:rPr>
      </w:pPr>
    </w:p>
    <w:p w14:paraId="018AD973">
      <w:pPr>
        <w:ind w:firstLine="723"/>
        <w:jc w:val="center"/>
        <w:rPr>
          <w:b/>
          <w:bCs/>
          <w:color w:val="auto"/>
          <w:sz w:val="36"/>
          <w:szCs w:val="36"/>
          <w:highlight w:val="none"/>
        </w:rPr>
      </w:pPr>
    </w:p>
    <w:p w14:paraId="6588AD58">
      <w:pPr>
        <w:ind w:firstLine="0" w:firstLineChars="0"/>
        <w:rPr>
          <w:b/>
          <w:bCs/>
          <w:color w:val="auto"/>
          <w:sz w:val="36"/>
          <w:szCs w:val="36"/>
          <w:highlight w:val="none"/>
        </w:rPr>
      </w:pPr>
    </w:p>
    <w:sectPr>
      <w:footerReference r:id="rId11" w:type="default"/>
      <w:pgSz w:w="11906" w:h="16838"/>
      <w:pgMar w:top="1145" w:right="1310" w:bottom="1053" w:left="1298" w:header="907" w:footer="992" w:gutter="0"/>
      <w:pgNumType w:start="2"/>
      <w:cols w:space="720" w:num="1"/>
      <w:docGrid w:type="lines" w:linePitch="3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_GB2312">
    <w:altName w:val="Segoe Print"/>
    <w:panose1 w:val="020B0604020202020204"/>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19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B4C3E">
    <w:pPr>
      <w:pStyle w:val="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98048">
    <w:pPr>
      <w:pStyle w:val="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4BDB1">
    <w:pPr>
      <w:pStyle w:val="2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9E19B">
    <w:pPr>
      <w:pStyle w:val="24"/>
      <w:ind w:firstLine="360"/>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7B0F77">
                          <w:pPr>
                            <w:pStyle w:val="24"/>
                            <w:ind w:firstLine="360"/>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5B7B0F77">
                    <w:pPr>
                      <w:pStyle w:val="24"/>
                      <w:ind w:firstLine="360"/>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087F6">
    <w:pPr>
      <w:pStyle w:val="25"/>
      <w:pBdr>
        <w:top w:val="none" w:color="auto" w:sz="0" w:space="0"/>
        <w:left w:val="none" w:color="auto" w:sz="0" w:space="0"/>
        <w:bottom w:val="single" w:color="FF0000" w:sz="4" w:space="0"/>
        <w:right w:val="none" w:color="auto" w:sz="0" w:space="0"/>
      </w:pBdr>
      <w:ind w:firstLine="0" w:firstLineChars="0"/>
      <w:rPr>
        <w:rFonts w:hint="eastAsia" w:eastAsia="仿宋"/>
        <w:lang w:eastAsia="zh-CN"/>
      </w:rPr>
    </w:pPr>
    <w:r>
      <w:rPr>
        <w:rFonts w:hint="eastAsia" w:ascii="仿宋" w:hAnsi="仿宋" w:cs="仿宋"/>
        <w:b/>
        <w:bCs/>
      </w:rPr>
      <w:t xml:space="preserve"> </w:t>
    </w:r>
    <w:r>
      <w:rPr>
        <w:rFonts w:hint="eastAsia" w:ascii="仿宋" w:hAnsi="仿宋" w:cs="仿宋"/>
        <w:b/>
        <w:bCs/>
        <w:lang w:eastAsia="zh-CN"/>
      </w:rPr>
      <w:t>2025年龙游华水水业发展有限公司劳务承包采购项目（重招）</w:t>
    </w:r>
    <w:r>
      <w:rPr>
        <w:rFonts w:ascii="仿宋" w:hAnsi="仿宋" w:cs="仿宋"/>
        <w:b/>
        <w:bCs/>
      </w:rPr>
      <w:t xml:space="preserve"> </w:t>
    </w:r>
    <w:r>
      <w:rPr>
        <w:rFonts w:hint="eastAsia" w:ascii="仿宋" w:hAnsi="仿宋" w:cs="仿宋"/>
        <w:b/>
        <w:bCs/>
      </w:rPr>
      <w:t xml:space="preserve">                </w:t>
    </w:r>
    <w:r>
      <w:rPr>
        <w:rFonts w:ascii="仿宋" w:hAnsi="仿宋" w:cs="仿宋"/>
        <w:b/>
        <w:bCs/>
      </w:rPr>
      <w:t xml:space="preserve"> </w:t>
    </w:r>
    <w:r>
      <w:rPr>
        <w:rFonts w:hint="eastAsia" w:ascii="仿宋" w:hAnsi="仿宋" w:cs="仿宋"/>
        <w:b/>
        <w:bCs/>
      </w:rPr>
      <w:t xml:space="preserve">采购编号： </w:t>
    </w:r>
    <w:r>
      <w:rPr>
        <w:rFonts w:hint="eastAsia" w:ascii="仿宋" w:hAnsi="仿宋" w:cs="仿宋"/>
        <w:b/>
        <w:bCs/>
        <w:lang w:eastAsia="zh-CN"/>
      </w:rPr>
      <w:t xml:space="preserve">LYCG2025TY-045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F94D8">
    <w:pPr>
      <w:pStyle w:val="2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FBDDD">
    <w:pPr>
      <w:pStyle w:val="25"/>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58719"/>
    <w:multiLevelType w:val="singleLevel"/>
    <w:tmpl w:val="8CC58719"/>
    <w:lvl w:ilvl="0" w:tentative="0">
      <w:start w:val="1"/>
      <w:numFmt w:val="decimal"/>
      <w:suff w:val="nothing"/>
      <w:lvlText w:val="%1、"/>
      <w:lvlJc w:val="left"/>
    </w:lvl>
  </w:abstractNum>
  <w:abstractNum w:abstractNumId="1">
    <w:nsid w:val="F49B27EF"/>
    <w:multiLevelType w:val="singleLevel"/>
    <w:tmpl w:val="F49B27EF"/>
    <w:lvl w:ilvl="0" w:tentative="0">
      <w:start w:val="2"/>
      <w:numFmt w:val="decimal"/>
      <w:lvlText w:val="%1."/>
      <w:lvlJc w:val="left"/>
      <w:pPr>
        <w:tabs>
          <w:tab w:val="left" w:pos="312"/>
        </w:tabs>
      </w:pPr>
    </w:lvl>
  </w:abstractNum>
  <w:abstractNum w:abstractNumId="2">
    <w:nsid w:val="050C9FDA"/>
    <w:multiLevelType w:val="singleLevel"/>
    <w:tmpl w:val="050C9FDA"/>
    <w:lvl w:ilvl="0" w:tentative="0">
      <w:start w:val="2"/>
      <w:numFmt w:val="decimal"/>
      <w:lvlText w:val="%1."/>
      <w:lvlJc w:val="left"/>
      <w:pPr>
        <w:tabs>
          <w:tab w:val="left" w:pos="312"/>
        </w:tabs>
      </w:pPr>
    </w:lvl>
  </w:abstractNum>
  <w:abstractNum w:abstractNumId="3">
    <w:nsid w:val="06C2D10A"/>
    <w:multiLevelType w:val="singleLevel"/>
    <w:tmpl w:val="06C2D10A"/>
    <w:lvl w:ilvl="0" w:tentative="0">
      <w:start w:val="1"/>
      <w:numFmt w:val="decimal"/>
      <w:suff w:val="nothing"/>
      <w:lvlText w:val="（%1）"/>
      <w:lvlJc w:val="left"/>
    </w:lvl>
  </w:abstractNum>
  <w:abstractNum w:abstractNumId="4">
    <w:nsid w:val="1F4131A0"/>
    <w:multiLevelType w:val="multilevel"/>
    <w:tmpl w:val="1F4131A0"/>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b w:val="0"/>
        <w:bCs w:val="0"/>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23A9367E"/>
    <w:multiLevelType w:val="multilevel"/>
    <w:tmpl w:val="23A9367E"/>
    <w:lvl w:ilvl="0" w:tentative="0">
      <w:start w:val="6"/>
      <w:numFmt w:val="chineseCountingThousand"/>
      <w:suff w:val="space"/>
      <w:lvlText w:val="%1"/>
      <w:lvlJc w:val="left"/>
      <w:pPr>
        <w:ind w:left="425" w:firstLine="142"/>
      </w:pPr>
      <w:rPr>
        <w:rFonts w:hint="eastAsia"/>
      </w:rPr>
    </w:lvl>
    <w:lvl w:ilvl="1" w:tentative="0">
      <w:start w:val="20"/>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b w:val="0"/>
        <w:bCs w:val="0"/>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26E719CE"/>
    <w:multiLevelType w:val="multilevel"/>
    <w:tmpl w:val="26E719CE"/>
    <w:lvl w:ilvl="0" w:tentative="0">
      <w:start w:val="5"/>
      <w:numFmt w:val="chineseCountingThousand"/>
      <w:suff w:val="space"/>
      <w:lvlText w:val="%1"/>
      <w:lvlJc w:val="left"/>
      <w:pPr>
        <w:ind w:left="425" w:firstLine="142"/>
      </w:pPr>
      <w:rPr>
        <w:rFonts w:hint="eastAsia"/>
      </w:rPr>
    </w:lvl>
    <w:lvl w:ilvl="1" w:tentative="0">
      <w:start w:val="16"/>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2F36578C"/>
    <w:multiLevelType w:val="multilevel"/>
    <w:tmpl w:val="2F36578C"/>
    <w:lvl w:ilvl="0" w:tentative="0">
      <w:start w:val="4"/>
      <w:numFmt w:val="chineseCountingThousand"/>
      <w:suff w:val="space"/>
      <w:lvlText w:val="%1"/>
      <w:lvlJc w:val="left"/>
      <w:pPr>
        <w:ind w:left="425" w:firstLine="142"/>
      </w:pPr>
      <w:rPr>
        <w:rFonts w:hint="eastAsia"/>
      </w:rPr>
    </w:lvl>
    <w:lvl w:ilvl="1" w:tentative="0">
      <w:start w:val="11"/>
      <w:numFmt w:val="decimal"/>
      <w:suff w:val="space"/>
      <w:lvlText w:val="%2."/>
      <w:lvlJc w:val="left"/>
      <w:pPr>
        <w:ind w:firstLine="567"/>
      </w:pPr>
      <w:rPr>
        <w:rFonts w:hint="eastAsia"/>
        <w:b w:val="0"/>
        <w:bCs w:val="0"/>
        <w:i w:val="0"/>
        <w:iCs w:val="0"/>
      </w:rPr>
    </w:lvl>
    <w:lvl w:ilvl="2" w:tentative="0">
      <w:start w:val="1"/>
      <w:numFmt w:val="decimal"/>
      <w:suff w:val="space"/>
      <w:lvlText w:val="%2.%3"/>
      <w:lvlJc w:val="left"/>
      <w:pPr>
        <w:ind w:firstLine="567"/>
      </w:pPr>
      <w:rPr>
        <w:rFonts w:hint="eastAsia"/>
      </w:rPr>
    </w:lvl>
    <w:lvl w:ilvl="3" w:tentative="0">
      <w:start w:val="1"/>
      <w:numFmt w:val="decimal"/>
      <w:suff w:val="space"/>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47F53821"/>
    <w:multiLevelType w:val="multilevel"/>
    <w:tmpl w:val="47F53821"/>
    <w:lvl w:ilvl="0" w:tentative="0">
      <w:start w:val="3"/>
      <w:numFmt w:val="chineseCountingThousand"/>
      <w:suff w:val="space"/>
      <w:lvlText w:val="%1"/>
      <w:lvlJc w:val="left"/>
      <w:pPr>
        <w:ind w:left="425" w:firstLine="142"/>
      </w:pPr>
      <w:rPr>
        <w:rFonts w:hint="eastAsia"/>
      </w:rPr>
    </w:lvl>
    <w:lvl w:ilvl="1" w:tentative="0">
      <w:start w:val="9"/>
      <w:numFmt w:val="decimal"/>
      <w:suff w:val="space"/>
      <w:lvlText w:val="%2."/>
      <w:lvlJc w:val="left"/>
      <w:pPr>
        <w:ind w:firstLine="567"/>
      </w:pPr>
      <w:rPr>
        <w:rFonts w:hint="eastAsia"/>
        <w:b w:val="0"/>
        <w:bCs w:val="0"/>
        <w:i w:val="0"/>
        <w:iCs w:val="0"/>
      </w:rPr>
    </w:lvl>
    <w:lvl w:ilvl="2" w:tentative="0">
      <w:start w:val="1"/>
      <w:numFmt w:val="decimal"/>
      <w:suff w:val="nothing"/>
      <w:lvlText w:val="%2.%3"/>
      <w:lvlJc w:val="left"/>
      <w:pPr>
        <w:ind w:firstLine="567"/>
      </w:pPr>
      <w:rPr>
        <w:rFonts w:hint="eastAsia"/>
      </w:rPr>
    </w:lvl>
    <w:lvl w:ilvl="3" w:tentative="0">
      <w:start w:val="1"/>
      <w:numFmt w:val="decimal"/>
      <w:suff w:val="nothing"/>
      <w:lvlText w:val="%2.%3.%4"/>
      <w:lvlJc w:val="left"/>
      <w:pPr>
        <w:ind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5A01B85C"/>
    <w:multiLevelType w:val="multilevel"/>
    <w:tmpl w:val="5A01B85C"/>
    <w:lvl w:ilvl="0" w:tentative="0">
      <w:start w:val="1"/>
      <w:numFmt w:val="decimal"/>
      <w:lvlText w:val="第%1条"/>
      <w:lvlJc w:val="left"/>
      <w:pPr>
        <w:tabs>
          <w:tab w:val="left" w:pos="5117"/>
        </w:tabs>
        <w:ind w:left="5117" w:hanging="1418"/>
      </w:pPr>
      <w:rPr>
        <w:rFonts w:hint="eastAsia"/>
      </w:rPr>
    </w:lvl>
    <w:lvl w:ilvl="1" w:tentative="0">
      <w:start w:val="1"/>
      <w:numFmt w:val="decimal"/>
      <w:lvlText w:val="%1.%2"/>
      <w:lvlJc w:val="left"/>
      <w:pPr>
        <w:ind w:left="638" w:hanging="624"/>
      </w:pPr>
      <w:rPr>
        <w:rFonts w:hint="eastAsia" w:ascii="Times New Roman" w:hAnsi="Times New Roman" w:cs="Times New Roman"/>
        <w:b/>
        <w:bCs w:val="0"/>
        <w:i w:val="0"/>
        <w:iCs w:val="0"/>
        <w:caps w:val="0"/>
        <w:smallCaps w:val="0"/>
        <w:strike w:val="0"/>
        <w:dstrike w:val="0"/>
        <w:color w:val="000000"/>
        <w:spacing w:val="0"/>
        <w:kern w:val="0"/>
        <w:position w:val="0"/>
        <w:sz w:val="28"/>
        <w:szCs w:val="28"/>
        <w:u w:val="none"/>
      </w:rPr>
    </w:lvl>
    <w:lvl w:ilvl="2" w:tentative="0">
      <w:start w:val="1"/>
      <w:numFmt w:val="decimal"/>
      <w:lvlText w:val="%1.%2.%3"/>
      <w:lvlJc w:val="left"/>
      <w:pPr>
        <w:tabs>
          <w:tab w:val="left" w:pos="2837"/>
        </w:tabs>
        <w:ind w:left="2240" w:hanging="680"/>
      </w:pPr>
      <w:rPr>
        <w:rFonts w:hint="eastAsia" w:ascii="Times New Roman" w:hAnsi="Times New Roman" w:cs="Times New Roman"/>
        <w:b w:val="0"/>
        <w:bCs w:val="0"/>
        <w:i w:val="0"/>
        <w:iCs w:val="0"/>
        <w:caps w:val="0"/>
        <w:smallCaps w:val="0"/>
        <w:strike w:val="0"/>
        <w:dstrike w:val="0"/>
        <w:color w:val="auto"/>
        <w:spacing w:val="0"/>
        <w:kern w:val="0"/>
        <w:position w:val="0"/>
        <w:u w:val="none"/>
      </w:rPr>
    </w:lvl>
    <w:lvl w:ilvl="3" w:tentative="0">
      <w:start w:val="1"/>
      <w:numFmt w:val="lowerLetter"/>
      <w:pStyle w:val="5"/>
      <w:lvlText w:val="(%4)"/>
      <w:lvlJc w:val="left"/>
      <w:pPr>
        <w:ind w:left="5359" w:hanging="397"/>
      </w:pPr>
      <w:rPr>
        <w:rFonts w:hint="default" w:ascii="Times New Roman" w:hAnsi="Times New Roman" w:cs="Times New Roman"/>
      </w:rPr>
    </w:lvl>
    <w:lvl w:ilvl="4" w:tentative="0">
      <w:start w:val="1"/>
      <w:numFmt w:val="lowerRoman"/>
      <w:pStyle w:val="6"/>
      <w:lvlText w:val="(%5)"/>
      <w:lvlJc w:val="left"/>
      <w:pPr>
        <w:ind w:left="2297" w:hanging="312"/>
      </w:pPr>
      <w:rPr>
        <w:rFonts w:hint="eastAsia"/>
      </w:rPr>
    </w:lvl>
    <w:lvl w:ilvl="5" w:tentative="0">
      <w:start w:val="1"/>
      <w:numFmt w:val="decimal"/>
      <w:lvlText w:val="%1.%2.%3.%4.%5.%6"/>
      <w:lvlJc w:val="left"/>
      <w:pPr>
        <w:ind w:left="3274" w:hanging="1134"/>
      </w:pPr>
      <w:rPr>
        <w:rFonts w:hint="eastAsia"/>
      </w:rPr>
    </w:lvl>
    <w:lvl w:ilvl="6" w:tentative="0">
      <w:start w:val="1"/>
      <w:numFmt w:val="decimal"/>
      <w:lvlText w:val="%1.%2.%3.%4.%5.%6.%7"/>
      <w:lvlJc w:val="left"/>
      <w:pPr>
        <w:ind w:left="3841" w:hanging="1276"/>
      </w:pPr>
      <w:rPr>
        <w:rFonts w:hint="eastAsia"/>
      </w:rPr>
    </w:lvl>
    <w:lvl w:ilvl="7" w:tentative="0">
      <w:start w:val="1"/>
      <w:numFmt w:val="decimal"/>
      <w:lvlText w:val="%1.%2.%3.%4.%5.%6.%7.%8"/>
      <w:lvlJc w:val="left"/>
      <w:pPr>
        <w:ind w:left="4408" w:hanging="1418"/>
      </w:pPr>
      <w:rPr>
        <w:rFonts w:hint="eastAsia"/>
      </w:rPr>
    </w:lvl>
    <w:lvl w:ilvl="8" w:tentative="0">
      <w:start w:val="1"/>
      <w:numFmt w:val="decimal"/>
      <w:lvlText w:val="%1.%2.%3.%4.%5.%6.%7.%8.%9"/>
      <w:lvlJc w:val="left"/>
      <w:pPr>
        <w:ind w:left="5116" w:hanging="1700"/>
      </w:pPr>
      <w:rPr>
        <w:rFonts w:hint="eastAsia"/>
      </w:rPr>
    </w:lvl>
  </w:abstractNum>
  <w:abstractNum w:abstractNumId="10">
    <w:nsid w:val="5CC17067"/>
    <w:multiLevelType w:val="singleLevel"/>
    <w:tmpl w:val="5CC17067"/>
    <w:lvl w:ilvl="0" w:tentative="0">
      <w:start w:val="3"/>
      <w:numFmt w:val="chineseCounting"/>
      <w:suff w:val="space"/>
      <w:lvlText w:val="第%1章"/>
      <w:lvlJc w:val="left"/>
    </w:lvl>
  </w:abstractNum>
  <w:num w:numId="1">
    <w:abstractNumId w:val="9"/>
  </w:num>
  <w:num w:numId="2">
    <w:abstractNumId w:val="0"/>
  </w:num>
  <w:num w:numId="3">
    <w:abstractNumId w:val="4"/>
  </w:num>
  <w:num w:numId="4">
    <w:abstractNumId w:val="8"/>
  </w:num>
  <w:num w:numId="5">
    <w:abstractNumId w:val="7"/>
  </w:num>
  <w:num w:numId="6">
    <w:abstractNumId w:val="6"/>
  </w:num>
  <w:num w:numId="7">
    <w:abstractNumId w:val="5"/>
  </w:num>
  <w:num w:numId="8">
    <w:abstractNumId w:val="10"/>
  </w:num>
  <w:num w:numId="9">
    <w:abstractNumId w:val="3"/>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VjY2Y2ZDc3YjBjZWEwNDM5ZTJmNmViNDI4YTU1ZTcifQ=="/>
  </w:docVars>
  <w:rsids>
    <w:rsidRoot w:val="12330772"/>
    <w:rsid w:val="00003646"/>
    <w:rsid w:val="00016508"/>
    <w:rsid w:val="00026A8B"/>
    <w:rsid w:val="000429D0"/>
    <w:rsid w:val="00070893"/>
    <w:rsid w:val="0007443A"/>
    <w:rsid w:val="000827B5"/>
    <w:rsid w:val="000A7818"/>
    <w:rsid w:val="000E6E81"/>
    <w:rsid w:val="000F08A2"/>
    <w:rsid w:val="000F544F"/>
    <w:rsid w:val="00106B2C"/>
    <w:rsid w:val="00111FA7"/>
    <w:rsid w:val="00120A7A"/>
    <w:rsid w:val="00122631"/>
    <w:rsid w:val="00133A5C"/>
    <w:rsid w:val="0013486C"/>
    <w:rsid w:val="00152475"/>
    <w:rsid w:val="00180672"/>
    <w:rsid w:val="00183140"/>
    <w:rsid w:val="001A5E5D"/>
    <w:rsid w:val="001A77DD"/>
    <w:rsid w:val="001C3FDB"/>
    <w:rsid w:val="001D01C6"/>
    <w:rsid w:val="001D1B34"/>
    <w:rsid w:val="00206F07"/>
    <w:rsid w:val="00214481"/>
    <w:rsid w:val="00214979"/>
    <w:rsid w:val="002252C7"/>
    <w:rsid w:val="002264DC"/>
    <w:rsid w:val="00232D34"/>
    <w:rsid w:val="00233E4A"/>
    <w:rsid w:val="00261B93"/>
    <w:rsid w:val="002748CE"/>
    <w:rsid w:val="00297F20"/>
    <w:rsid w:val="002A34CA"/>
    <w:rsid w:val="002B2255"/>
    <w:rsid w:val="002B5F24"/>
    <w:rsid w:val="002D2598"/>
    <w:rsid w:val="002E1C4C"/>
    <w:rsid w:val="002E5C40"/>
    <w:rsid w:val="002F0F4B"/>
    <w:rsid w:val="002F2AE0"/>
    <w:rsid w:val="00302A7D"/>
    <w:rsid w:val="00302D1D"/>
    <w:rsid w:val="00303408"/>
    <w:rsid w:val="00322EAE"/>
    <w:rsid w:val="00340617"/>
    <w:rsid w:val="00341949"/>
    <w:rsid w:val="00347F63"/>
    <w:rsid w:val="00354E59"/>
    <w:rsid w:val="0036756A"/>
    <w:rsid w:val="003747C7"/>
    <w:rsid w:val="00411464"/>
    <w:rsid w:val="00437352"/>
    <w:rsid w:val="004402D5"/>
    <w:rsid w:val="00451FCE"/>
    <w:rsid w:val="0048191C"/>
    <w:rsid w:val="004820C6"/>
    <w:rsid w:val="004874D5"/>
    <w:rsid w:val="00490408"/>
    <w:rsid w:val="004A417C"/>
    <w:rsid w:val="004B76FC"/>
    <w:rsid w:val="004C16F0"/>
    <w:rsid w:val="004E3ADD"/>
    <w:rsid w:val="004F7819"/>
    <w:rsid w:val="0050128C"/>
    <w:rsid w:val="00507E34"/>
    <w:rsid w:val="005442C4"/>
    <w:rsid w:val="005504C0"/>
    <w:rsid w:val="00551C59"/>
    <w:rsid w:val="005644D9"/>
    <w:rsid w:val="005869B9"/>
    <w:rsid w:val="0059553D"/>
    <w:rsid w:val="005A2F2D"/>
    <w:rsid w:val="005C4D2E"/>
    <w:rsid w:val="005E0C8F"/>
    <w:rsid w:val="006004B5"/>
    <w:rsid w:val="00614A48"/>
    <w:rsid w:val="006336CC"/>
    <w:rsid w:val="00653472"/>
    <w:rsid w:val="006609E1"/>
    <w:rsid w:val="006716EB"/>
    <w:rsid w:val="0068364B"/>
    <w:rsid w:val="00685A7F"/>
    <w:rsid w:val="006862F3"/>
    <w:rsid w:val="006931F2"/>
    <w:rsid w:val="00693B9D"/>
    <w:rsid w:val="006953FB"/>
    <w:rsid w:val="006A1A33"/>
    <w:rsid w:val="006C1B72"/>
    <w:rsid w:val="006C5F10"/>
    <w:rsid w:val="006C77D1"/>
    <w:rsid w:val="006E3273"/>
    <w:rsid w:val="006E3287"/>
    <w:rsid w:val="006E389B"/>
    <w:rsid w:val="006E7B3B"/>
    <w:rsid w:val="006F6BFF"/>
    <w:rsid w:val="00701DAF"/>
    <w:rsid w:val="00706146"/>
    <w:rsid w:val="007134AF"/>
    <w:rsid w:val="0072245E"/>
    <w:rsid w:val="00746B51"/>
    <w:rsid w:val="00751A66"/>
    <w:rsid w:val="00755BF8"/>
    <w:rsid w:val="00755DF0"/>
    <w:rsid w:val="00760C1D"/>
    <w:rsid w:val="00764797"/>
    <w:rsid w:val="0077765E"/>
    <w:rsid w:val="007852BC"/>
    <w:rsid w:val="007A60B3"/>
    <w:rsid w:val="007A7256"/>
    <w:rsid w:val="007B4034"/>
    <w:rsid w:val="007B74BB"/>
    <w:rsid w:val="007E4538"/>
    <w:rsid w:val="007E76B3"/>
    <w:rsid w:val="00811021"/>
    <w:rsid w:val="008150E5"/>
    <w:rsid w:val="00821DA7"/>
    <w:rsid w:val="00851477"/>
    <w:rsid w:val="0085356A"/>
    <w:rsid w:val="0086505F"/>
    <w:rsid w:val="00867FF2"/>
    <w:rsid w:val="00870AA4"/>
    <w:rsid w:val="0088364A"/>
    <w:rsid w:val="008921BC"/>
    <w:rsid w:val="00896DBB"/>
    <w:rsid w:val="008B0885"/>
    <w:rsid w:val="008B25EF"/>
    <w:rsid w:val="008C1BB2"/>
    <w:rsid w:val="008C4393"/>
    <w:rsid w:val="008C5EBB"/>
    <w:rsid w:val="008D4765"/>
    <w:rsid w:val="008E421D"/>
    <w:rsid w:val="008E605E"/>
    <w:rsid w:val="008E6803"/>
    <w:rsid w:val="008F1EE8"/>
    <w:rsid w:val="00900DED"/>
    <w:rsid w:val="00905AB1"/>
    <w:rsid w:val="00911C77"/>
    <w:rsid w:val="00922D00"/>
    <w:rsid w:val="009275A5"/>
    <w:rsid w:val="00953BC5"/>
    <w:rsid w:val="00966788"/>
    <w:rsid w:val="00967977"/>
    <w:rsid w:val="0099089B"/>
    <w:rsid w:val="009A5612"/>
    <w:rsid w:val="009C1922"/>
    <w:rsid w:val="009C1A7B"/>
    <w:rsid w:val="009D3746"/>
    <w:rsid w:val="009F291E"/>
    <w:rsid w:val="009F7F26"/>
    <w:rsid w:val="00A012DF"/>
    <w:rsid w:val="00A0598A"/>
    <w:rsid w:val="00A157CA"/>
    <w:rsid w:val="00A21A0D"/>
    <w:rsid w:val="00A21C30"/>
    <w:rsid w:val="00A21F1E"/>
    <w:rsid w:val="00A3081E"/>
    <w:rsid w:val="00A425A7"/>
    <w:rsid w:val="00A472E0"/>
    <w:rsid w:val="00A71BE6"/>
    <w:rsid w:val="00A94995"/>
    <w:rsid w:val="00AA5362"/>
    <w:rsid w:val="00AD0820"/>
    <w:rsid w:val="00AD0BDC"/>
    <w:rsid w:val="00AD5A13"/>
    <w:rsid w:val="00AE025A"/>
    <w:rsid w:val="00AE1802"/>
    <w:rsid w:val="00AE4935"/>
    <w:rsid w:val="00B1227D"/>
    <w:rsid w:val="00B13F40"/>
    <w:rsid w:val="00B206FE"/>
    <w:rsid w:val="00B24F97"/>
    <w:rsid w:val="00B32EFD"/>
    <w:rsid w:val="00B34734"/>
    <w:rsid w:val="00B41AC6"/>
    <w:rsid w:val="00B42189"/>
    <w:rsid w:val="00B43129"/>
    <w:rsid w:val="00B4649D"/>
    <w:rsid w:val="00B50445"/>
    <w:rsid w:val="00B553A2"/>
    <w:rsid w:val="00B56410"/>
    <w:rsid w:val="00B711B0"/>
    <w:rsid w:val="00B84826"/>
    <w:rsid w:val="00BD2B5A"/>
    <w:rsid w:val="00BE1A0B"/>
    <w:rsid w:val="00BE2461"/>
    <w:rsid w:val="00BE32F3"/>
    <w:rsid w:val="00BE558C"/>
    <w:rsid w:val="00C15FAD"/>
    <w:rsid w:val="00C216C2"/>
    <w:rsid w:val="00C358F9"/>
    <w:rsid w:val="00C401FA"/>
    <w:rsid w:val="00C40609"/>
    <w:rsid w:val="00C46095"/>
    <w:rsid w:val="00C52A70"/>
    <w:rsid w:val="00C8388E"/>
    <w:rsid w:val="00C84E13"/>
    <w:rsid w:val="00C9377C"/>
    <w:rsid w:val="00C9433D"/>
    <w:rsid w:val="00CA3F9F"/>
    <w:rsid w:val="00CC224D"/>
    <w:rsid w:val="00CC64F6"/>
    <w:rsid w:val="00D26886"/>
    <w:rsid w:val="00D270F2"/>
    <w:rsid w:val="00D34EFE"/>
    <w:rsid w:val="00D4507B"/>
    <w:rsid w:val="00D56995"/>
    <w:rsid w:val="00DC72EE"/>
    <w:rsid w:val="00DD1EC9"/>
    <w:rsid w:val="00DD25C5"/>
    <w:rsid w:val="00DD5037"/>
    <w:rsid w:val="00DF0C5F"/>
    <w:rsid w:val="00DF69C4"/>
    <w:rsid w:val="00E1238A"/>
    <w:rsid w:val="00E170C1"/>
    <w:rsid w:val="00E253EC"/>
    <w:rsid w:val="00E2704F"/>
    <w:rsid w:val="00E30031"/>
    <w:rsid w:val="00E42644"/>
    <w:rsid w:val="00E469B6"/>
    <w:rsid w:val="00E47643"/>
    <w:rsid w:val="00E524CE"/>
    <w:rsid w:val="00E54D08"/>
    <w:rsid w:val="00E618C7"/>
    <w:rsid w:val="00E67F5D"/>
    <w:rsid w:val="00E73EC8"/>
    <w:rsid w:val="00E756DB"/>
    <w:rsid w:val="00E759EF"/>
    <w:rsid w:val="00E774C8"/>
    <w:rsid w:val="00E801AD"/>
    <w:rsid w:val="00E93546"/>
    <w:rsid w:val="00E97F5A"/>
    <w:rsid w:val="00EB2425"/>
    <w:rsid w:val="00EB48E3"/>
    <w:rsid w:val="00EB7BF3"/>
    <w:rsid w:val="00EC0C2A"/>
    <w:rsid w:val="00EC25E1"/>
    <w:rsid w:val="00EC6611"/>
    <w:rsid w:val="00EF6C8A"/>
    <w:rsid w:val="00F05A8B"/>
    <w:rsid w:val="00F27012"/>
    <w:rsid w:val="00F31178"/>
    <w:rsid w:val="00F33D73"/>
    <w:rsid w:val="00F34D29"/>
    <w:rsid w:val="00F371A4"/>
    <w:rsid w:val="00F453C0"/>
    <w:rsid w:val="00F473AA"/>
    <w:rsid w:val="00F6127D"/>
    <w:rsid w:val="00F63A20"/>
    <w:rsid w:val="00F90D80"/>
    <w:rsid w:val="00FC05A7"/>
    <w:rsid w:val="00FC4DAA"/>
    <w:rsid w:val="00FC5257"/>
    <w:rsid w:val="00FF61E8"/>
    <w:rsid w:val="010649FD"/>
    <w:rsid w:val="01094653"/>
    <w:rsid w:val="01172A03"/>
    <w:rsid w:val="011A3891"/>
    <w:rsid w:val="01510D83"/>
    <w:rsid w:val="016140C6"/>
    <w:rsid w:val="01936B60"/>
    <w:rsid w:val="01AB335C"/>
    <w:rsid w:val="01AF6C93"/>
    <w:rsid w:val="01D65040"/>
    <w:rsid w:val="01D964F8"/>
    <w:rsid w:val="01E054EB"/>
    <w:rsid w:val="01E37862"/>
    <w:rsid w:val="01F666EE"/>
    <w:rsid w:val="020A0F7F"/>
    <w:rsid w:val="021B1821"/>
    <w:rsid w:val="02514964"/>
    <w:rsid w:val="0265062C"/>
    <w:rsid w:val="028710B6"/>
    <w:rsid w:val="029475F5"/>
    <w:rsid w:val="02AD34F4"/>
    <w:rsid w:val="02DD4F2E"/>
    <w:rsid w:val="02E96323"/>
    <w:rsid w:val="030F59F5"/>
    <w:rsid w:val="03126D8D"/>
    <w:rsid w:val="032C3DC2"/>
    <w:rsid w:val="033963C2"/>
    <w:rsid w:val="035101CF"/>
    <w:rsid w:val="038B1BF6"/>
    <w:rsid w:val="038D51FF"/>
    <w:rsid w:val="039676A9"/>
    <w:rsid w:val="03A26CE4"/>
    <w:rsid w:val="03E65188"/>
    <w:rsid w:val="04041965"/>
    <w:rsid w:val="042E5CBF"/>
    <w:rsid w:val="043A3F7F"/>
    <w:rsid w:val="04496F01"/>
    <w:rsid w:val="04787C77"/>
    <w:rsid w:val="04922296"/>
    <w:rsid w:val="04AD7D71"/>
    <w:rsid w:val="04C4672F"/>
    <w:rsid w:val="04D719BC"/>
    <w:rsid w:val="04E11470"/>
    <w:rsid w:val="05145BD8"/>
    <w:rsid w:val="05166D5D"/>
    <w:rsid w:val="052C69EB"/>
    <w:rsid w:val="05472B77"/>
    <w:rsid w:val="05530C75"/>
    <w:rsid w:val="05550F81"/>
    <w:rsid w:val="05AF5900"/>
    <w:rsid w:val="05BB3177"/>
    <w:rsid w:val="05E4742F"/>
    <w:rsid w:val="05E8317D"/>
    <w:rsid w:val="05F246E8"/>
    <w:rsid w:val="06233AA0"/>
    <w:rsid w:val="06312096"/>
    <w:rsid w:val="063C49CA"/>
    <w:rsid w:val="064424ED"/>
    <w:rsid w:val="06494EFE"/>
    <w:rsid w:val="067B3C14"/>
    <w:rsid w:val="068E3768"/>
    <w:rsid w:val="06BA455D"/>
    <w:rsid w:val="06C2143D"/>
    <w:rsid w:val="07001403"/>
    <w:rsid w:val="07185ABD"/>
    <w:rsid w:val="07583E9D"/>
    <w:rsid w:val="075E51F1"/>
    <w:rsid w:val="07617FA6"/>
    <w:rsid w:val="0792024D"/>
    <w:rsid w:val="07B61CBA"/>
    <w:rsid w:val="07E35FFF"/>
    <w:rsid w:val="07F42105"/>
    <w:rsid w:val="07FB307F"/>
    <w:rsid w:val="08087DE5"/>
    <w:rsid w:val="082F0250"/>
    <w:rsid w:val="0879423E"/>
    <w:rsid w:val="087C0CF1"/>
    <w:rsid w:val="08994E1D"/>
    <w:rsid w:val="089B2462"/>
    <w:rsid w:val="08AB6853"/>
    <w:rsid w:val="08AE6343"/>
    <w:rsid w:val="08BB5CE2"/>
    <w:rsid w:val="08CA0DEA"/>
    <w:rsid w:val="08D11163"/>
    <w:rsid w:val="08D21CBE"/>
    <w:rsid w:val="08DF79F1"/>
    <w:rsid w:val="090D60CD"/>
    <w:rsid w:val="09285B26"/>
    <w:rsid w:val="092E279E"/>
    <w:rsid w:val="09306D58"/>
    <w:rsid w:val="0960117C"/>
    <w:rsid w:val="096965CE"/>
    <w:rsid w:val="09697100"/>
    <w:rsid w:val="09746765"/>
    <w:rsid w:val="099C619C"/>
    <w:rsid w:val="09BC1175"/>
    <w:rsid w:val="09BC4A90"/>
    <w:rsid w:val="09DD0433"/>
    <w:rsid w:val="09E702DD"/>
    <w:rsid w:val="0A075F99"/>
    <w:rsid w:val="0A1B386D"/>
    <w:rsid w:val="0A1B5312"/>
    <w:rsid w:val="0A284BF5"/>
    <w:rsid w:val="0A4022AA"/>
    <w:rsid w:val="0A7F7F97"/>
    <w:rsid w:val="0A851B0A"/>
    <w:rsid w:val="0A870BFA"/>
    <w:rsid w:val="0AB47515"/>
    <w:rsid w:val="0AB66445"/>
    <w:rsid w:val="0AE71698"/>
    <w:rsid w:val="0AEF6C3D"/>
    <w:rsid w:val="0B1251E5"/>
    <w:rsid w:val="0B28370F"/>
    <w:rsid w:val="0B492353"/>
    <w:rsid w:val="0B5A4560"/>
    <w:rsid w:val="0B6170CC"/>
    <w:rsid w:val="0B680C26"/>
    <w:rsid w:val="0B6940B8"/>
    <w:rsid w:val="0B89417D"/>
    <w:rsid w:val="0B8A359C"/>
    <w:rsid w:val="0BD4527F"/>
    <w:rsid w:val="0C013E4C"/>
    <w:rsid w:val="0C662A91"/>
    <w:rsid w:val="0C697A1F"/>
    <w:rsid w:val="0C6E4B74"/>
    <w:rsid w:val="0C7003D6"/>
    <w:rsid w:val="0C8F6A66"/>
    <w:rsid w:val="0CDA0BB1"/>
    <w:rsid w:val="0CF053C7"/>
    <w:rsid w:val="0D110885"/>
    <w:rsid w:val="0D145A75"/>
    <w:rsid w:val="0D243B4E"/>
    <w:rsid w:val="0D244E5A"/>
    <w:rsid w:val="0D2561C9"/>
    <w:rsid w:val="0D351919"/>
    <w:rsid w:val="0D38142E"/>
    <w:rsid w:val="0D6039C5"/>
    <w:rsid w:val="0D8E3570"/>
    <w:rsid w:val="0D9A0C44"/>
    <w:rsid w:val="0DD02F0F"/>
    <w:rsid w:val="0DF54C75"/>
    <w:rsid w:val="0E005871"/>
    <w:rsid w:val="0E0467C2"/>
    <w:rsid w:val="0E342E47"/>
    <w:rsid w:val="0E61334F"/>
    <w:rsid w:val="0E7B4B8B"/>
    <w:rsid w:val="0E7F62A1"/>
    <w:rsid w:val="0E833B53"/>
    <w:rsid w:val="0E940589"/>
    <w:rsid w:val="0E9D76B8"/>
    <w:rsid w:val="0ED85268"/>
    <w:rsid w:val="0EF600FC"/>
    <w:rsid w:val="0F04639C"/>
    <w:rsid w:val="0F2065EE"/>
    <w:rsid w:val="0F25722B"/>
    <w:rsid w:val="0F696BC3"/>
    <w:rsid w:val="0F701C7D"/>
    <w:rsid w:val="0F7C60F1"/>
    <w:rsid w:val="0F8B38AB"/>
    <w:rsid w:val="0F930041"/>
    <w:rsid w:val="0FC82BC3"/>
    <w:rsid w:val="0FD05800"/>
    <w:rsid w:val="0FD33B2F"/>
    <w:rsid w:val="0FD93196"/>
    <w:rsid w:val="0FE66A5F"/>
    <w:rsid w:val="0FEF02B3"/>
    <w:rsid w:val="0FF2523E"/>
    <w:rsid w:val="0FF756C0"/>
    <w:rsid w:val="0FF90BC3"/>
    <w:rsid w:val="1001144E"/>
    <w:rsid w:val="100827DD"/>
    <w:rsid w:val="102057F4"/>
    <w:rsid w:val="1025642B"/>
    <w:rsid w:val="102E2861"/>
    <w:rsid w:val="10313430"/>
    <w:rsid w:val="104B514A"/>
    <w:rsid w:val="10563548"/>
    <w:rsid w:val="105915D4"/>
    <w:rsid w:val="109113BA"/>
    <w:rsid w:val="109824C3"/>
    <w:rsid w:val="109C4CD3"/>
    <w:rsid w:val="109F5B1E"/>
    <w:rsid w:val="10B10B0E"/>
    <w:rsid w:val="10BA6FC7"/>
    <w:rsid w:val="10C17C3F"/>
    <w:rsid w:val="110166FD"/>
    <w:rsid w:val="11236683"/>
    <w:rsid w:val="1128459B"/>
    <w:rsid w:val="11297EC9"/>
    <w:rsid w:val="113D0232"/>
    <w:rsid w:val="11401891"/>
    <w:rsid w:val="1151512D"/>
    <w:rsid w:val="116869C7"/>
    <w:rsid w:val="11716160"/>
    <w:rsid w:val="11880F61"/>
    <w:rsid w:val="118F3B66"/>
    <w:rsid w:val="11E01A4B"/>
    <w:rsid w:val="11E13077"/>
    <w:rsid w:val="12330772"/>
    <w:rsid w:val="12380862"/>
    <w:rsid w:val="12424193"/>
    <w:rsid w:val="12597DD2"/>
    <w:rsid w:val="12654C90"/>
    <w:rsid w:val="126924BD"/>
    <w:rsid w:val="128F34F9"/>
    <w:rsid w:val="129A025D"/>
    <w:rsid w:val="129C0279"/>
    <w:rsid w:val="12A362E5"/>
    <w:rsid w:val="12D03DE5"/>
    <w:rsid w:val="12D70244"/>
    <w:rsid w:val="13760E50"/>
    <w:rsid w:val="138A301D"/>
    <w:rsid w:val="13A40CB0"/>
    <w:rsid w:val="13B83A0F"/>
    <w:rsid w:val="13BF593A"/>
    <w:rsid w:val="13C442B2"/>
    <w:rsid w:val="13CC5951"/>
    <w:rsid w:val="13D14B6D"/>
    <w:rsid w:val="13D32240"/>
    <w:rsid w:val="143C3F10"/>
    <w:rsid w:val="1450258A"/>
    <w:rsid w:val="14596B6E"/>
    <w:rsid w:val="14670957"/>
    <w:rsid w:val="14680169"/>
    <w:rsid w:val="14877B60"/>
    <w:rsid w:val="14C7031F"/>
    <w:rsid w:val="14D342B9"/>
    <w:rsid w:val="14DE6573"/>
    <w:rsid w:val="14F7176A"/>
    <w:rsid w:val="150115A9"/>
    <w:rsid w:val="150C7B5E"/>
    <w:rsid w:val="15170BBB"/>
    <w:rsid w:val="154A777B"/>
    <w:rsid w:val="155E4C4D"/>
    <w:rsid w:val="15AB0AA4"/>
    <w:rsid w:val="15B23B51"/>
    <w:rsid w:val="16050C01"/>
    <w:rsid w:val="160733B1"/>
    <w:rsid w:val="16134D55"/>
    <w:rsid w:val="16315BBA"/>
    <w:rsid w:val="163C6D3C"/>
    <w:rsid w:val="164706E1"/>
    <w:rsid w:val="16810BF3"/>
    <w:rsid w:val="16945378"/>
    <w:rsid w:val="16A6065A"/>
    <w:rsid w:val="16AB2E46"/>
    <w:rsid w:val="17102D8D"/>
    <w:rsid w:val="17233AEC"/>
    <w:rsid w:val="17244A82"/>
    <w:rsid w:val="173168FB"/>
    <w:rsid w:val="173B6FF4"/>
    <w:rsid w:val="176A5B2B"/>
    <w:rsid w:val="17721E77"/>
    <w:rsid w:val="17760EC4"/>
    <w:rsid w:val="177E3384"/>
    <w:rsid w:val="17812233"/>
    <w:rsid w:val="17932454"/>
    <w:rsid w:val="17973558"/>
    <w:rsid w:val="1798559B"/>
    <w:rsid w:val="17EA64CC"/>
    <w:rsid w:val="17EC7A44"/>
    <w:rsid w:val="17FF08E7"/>
    <w:rsid w:val="18007FB7"/>
    <w:rsid w:val="180A4C18"/>
    <w:rsid w:val="181250C7"/>
    <w:rsid w:val="181A5759"/>
    <w:rsid w:val="18472116"/>
    <w:rsid w:val="18652264"/>
    <w:rsid w:val="18702F50"/>
    <w:rsid w:val="18C26AAD"/>
    <w:rsid w:val="18C95F29"/>
    <w:rsid w:val="19086FD4"/>
    <w:rsid w:val="19346A48"/>
    <w:rsid w:val="19430368"/>
    <w:rsid w:val="194E6691"/>
    <w:rsid w:val="19504DB2"/>
    <w:rsid w:val="195A6828"/>
    <w:rsid w:val="19810F0A"/>
    <w:rsid w:val="19815BE6"/>
    <w:rsid w:val="19A25E93"/>
    <w:rsid w:val="19CE05F3"/>
    <w:rsid w:val="19EC0835"/>
    <w:rsid w:val="1A012F3D"/>
    <w:rsid w:val="1A1B4EBB"/>
    <w:rsid w:val="1A1F0E4F"/>
    <w:rsid w:val="1A2E1092"/>
    <w:rsid w:val="1A2F76ED"/>
    <w:rsid w:val="1A555BBE"/>
    <w:rsid w:val="1A80358B"/>
    <w:rsid w:val="1AA411C1"/>
    <w:rsid w:val="1AB723E0"/>
    <w:rsid w:val="1AD43BEE"/>
    <w:rsid w:val="1AE01026"/>
    <w:rsid w:val="1AE25C31"/>
    <w:rsid w:val="1AE5074D"/>
    <w:rsid w:val="1B03607B"/>
    <w:rsid w:val="1B581E4A"/>
    <w:rsid w:val="1B9B3911"/>
    <w:rsid w:val="1BAD14D2"/>
    <w:rsid w:val="1BD605F3"/>
    <w:rsid w:val="1BE91714"/>
    <w:rsid w:val="1BEB27DD"/>
    <w:rsid w:val="1C07688A"/>
    <w:rsid w:val="1C0E3B2F"/>
    <w:rsid w:val="1C150E56"/>
    <w:rsid w:val="1C174B24"/>
    <w:rsid w:val="1C1C221F"/>
    <w:rsid w:val="1C423053"/>
    <w:rsid w:val="1C44491C"/>
    <w:rsid w:val="1C4B6499"/>
    <w:rsid w:val="1C5C1B65"/>
    <w:rsid w:val="1C8B507F"/>
    <w:rsid w:val="1C99465E"/>
    <w:rsid w:val="1CA60997"/>
    <w:rsid w:val="1CAC3A31"/>
    <w:rsid w:val="1CC950A2"/>
    <w:rsid w:val="1CDF0421"/>
    <w:rsid w:val="1CEC2D77"/>
    <w:rsid w:val="1D04257E"/>
    <w:rsid w:val="1D0B2C34"/>
    <w:rsid w:val="1D19312F"/>
    <w:rsid w:val="1D253291"/>
    <w:rsid w:val="1D2E3157"/>
    <w:rsid w:val="1D3272CF"/>
    <w:rsid w:val="1D5E1C8E"/>
    <w:rsid w:val="1D5E3A3C"/>
    <w:rsid w:val="1D684975"/>
    <w:rsid w:val="1D7274E7"/>
    <w:rsid w:val="1DE429ED"/>
    <w:rsid w:val="1E150B68"/>
    <w:rsid w:val="1E1C296E"/>
    <w:rsid w:val="1E1D38F7"/>
    <w:rsid w:val="1E5B441F"/>
    <w:rsid w:val="1E6504F0"/>
    <w:rsid w:val="1E8D00EB"/>
    <w:rsid w:val="1E975C3E"/>
    <w:rsid w:val="1EAC468D"/>
    <w:rsid w:val="1EB1629C"/>
    <w:rsid w:val="1EEB1854"/>
    <w:rsid w:val="1EF32FC4"/>
    <w:rsid w:val="1F1C6EB6"/>
    <w:rsid w:val="1F2A6B37"/>
    <w:rsid w:val="1F30529C"/>
    <w:rsid w:val="1F467833"/>
    <w:rsid w:val="1F4E36B1"/>
    <w:rsid w:val="1F5A3BD0"/>
    <w:rsid w:val="1F8B3EF6"/>
    <w:rsid w:val="1FAD2A59"/>
    <w:rsid w:val="1FB52813"/>
    <w:rsid w:val="1FDF028C"/>
    <w:rsid w:val="20022A1A"/>
    <w:rsid w:val="20127FCD"/>
    <w:rsid w:val="20617A17"/>
    <w:rsid w:val="20856C7D"/>
    <w:rsid w:val="20BD0268"/>
    <w:rsid w:val="20E60431"/>
    <w:rsid w:val="20FA25B0"/>
    <w:rsid w:val="211A20DA"/>
    <w:rsid w:val="213F231A"/>
    <w:rsid w:val="21617018"/>
    <w:rsid w:val="21671B55"/>
    <w:rsid w:val="2172076E"/>
    <w:rsid w:val="217E7173"/>
    <w:rsid w:val="21C746C8"/>
    <w:rsid w:val="21CF1CC8"/>
    <w:rsid w:val="21EE13E2"/>
    <w:rsid w:val="21FA5CFD"/>
    <w:rsid w:val="221820F8"/>
    <w:rsid w:val="222B5EB7"/>
    <w:rsid w:val="223631D9"/>
    <w:rsid w:val="223F1EBC"/>
    <w:rsid w:val="2241593B"/>
    <w:rsid w:val="22551E62"/>
    <w:rsid w:val="225A171B"/>
    <w:rsid w:val="22691D0F"/>
    <w:rsid w:val="227C282E"/>
    <w:rsid w:val="22816EAF"/>
    <w:rsid w:val="228E034E"/>
    <w:rsid w:val="229D5263"/>
    <w:rsid w:val="22B6537E"/>
    <w:rsid w:val="22B8377D"/>
    <w:rsid w:val="22C03475"/>
    <w:rsid w:val="230C321D"/>
    <w:rsid w:val="23155D90"/>
    <w:rsid w:val="23183019"/>
    <w:rsid w:val="23321D90"/>
    <w:rsid w:val="23360FF4"/>
    <w:rsid w:val="235419B4"/>
    <w:rsid w:val="23584E4A"/>
    <w:rsid w:val="23A63D8D"/>
    <w:rsid w:val="23C10E27"/>
    <w:rsid w:val="23CE7442"/>
    <w:rsid w:val="24075BD3"/>
    <w:rsid w:val="241237D2"/>
    <w:rsid w:val="24253506"/>
    <w:rsid w:val="243B4AD7"/>
    <w:rsid w:val="24727367"/>
    <w:rsid w:val="24A634C4"/>
    <w:rsid w:val="24AA6AB3"/>
    <w:rsid w:val="24BC54EC"/>
    <w:rsid w:val="250E0719"/>
    <w:rsid w:val="251406E0"/>
    <w:rsid w:val="2536579D"/>
    <w:rsid w:val="25630B70"/>
    <w:rsid w:val="2572588D"/>
    <w:rsid w:val="2581497C"/>
    <w:rsid w:val="2593624D"/>
    <w:rsid w:val="25A80C60"/>
    <w:rsid w:val="25BC39F6"/>
    <w:rsid w:val="25C44916"/>
    <w:rsid w:val="25CE08CA"/>
    <w:rsid w:val="25E36A82"/>
    <w:rsid w:val="25F921FD"/>
    <w:rsid w:val="25FF48FB"/>
    <w:rsid w:val="260625F3"/>
    <w:rsid w:val="26070096"/>
    <w:rsid w:val="26327DDB"/>
    <w:rsid w:val="263430DD"/>
    <w:rsid w:val="26541E80"/>
    <w:rsid w:val="266E549A"/>
    <w:rsid w:val="267E5188"/>
    <w:rsid w:val="2682645A"/>
    <w:rsid w:val="26841C0B"/>
    <w:rsid w:val="26880D7B"/>
    <w:rsid w:val="269D532E"/>
    <w:rsid w:val="26B02C86"/>
    <w:rsid w:val="26B62F7E"/>
    <w:rsid w:val="26D55C4C"/>
    <w:rsid w:val="26ED278D"/>
    <w:rsid w:val="26F91EC6"/>
    <w:rsid w:val="27027B2E"/>
    <w:rsid w:val="270B02DB"/>
    <w:rsid w:val="27541A0C"/>
    <w:rsid w:val="277B4352"/>
    <w:rsid w:val="27843AB5"/>
    <w:rsid w:val="27890B29"/>
    <w:rsid w:val="27A14592"/>
    <w:rsid w:val="27FF7BCA"/>
    <w:rsid w:val="280C224F"/>
    <w:rsid w:val="282F4A26"/>
    <w:rsid w:val="28391F17"/>
    <w:rsid w:val="28493AA6"/>
    <w:rsid w:val="287F70C8"/>
    <w:rsid w:val="288A40E7"/>
    <w:rsid w:val="28D930A1"/>
    <w:rsid w:val="28EE2036"/>
    <w:rsid w:val="2907530D"/>
    <w:rsid w:val="291753F8"/>
    <w:rsid w:val="29393AB1"/>
    <w:rsid w:val="29394CEC"/>
    <w:rsid w:val="293E7836"/>
    <w:rsid w:val="29526C38"/>
    <w:rsid w:val="299A45B0"/>
    <w:rsid w:val="29AF0BBD"/>
    <w:rsid w:val="29C4006C"/>
    <w:rsid w:val="29DA5136"/>
    <w:rsid w:val="29E36C46"/>
    <w:rsid w:val="29ED14A6"/>
    <w:rsid w:val="2A1619CB"/>
    <w:rsid w:val="2A3F69A3"/>
    <w:rsid w:val="2A5306A1"/>
    <w:rsid w:val="2A60144D"/>
    <w:rsid w:val="2A6F04E6"/>
    <w:rsid w:val="2A884F48"/>
    <w:rsid w:val="2AA92029"/>
    <w:rsid w:val="2AB61FBD"/>
    <w:rsid w:val="2AB67BA6"/>
    <w:rsid w:val="2ADF317E"/>
    <w:rsid w:val="2B0D5D58"/>
    <w:rsid w:val="2B1D7056"/>
    <w:rsid w:val="2B5E554F"/>
    <w:rsid w:val="2B683932"/>
    <w:rsid w:val="2B762959"/>
    <w:rsid w:val="2B7869F0"/>
    <w:rsid w:val="2BA128A4"/>
    <w:rsid w:val="2BC1382E"/>
    <w:rsid w:val="2BDD3602"/>
    <w:rsid w:val="2BE23A8A"/>
    <w:rsid w:val="2BF004E2"/>
    <w:rsid w:val="2BF05322"/>
    <w:rsid w:val="2C070130"/>
    <w:rsid w:val="2C08583F"/>
    <w:rsid w:val="2C291D74"/>
    <w:rsid w:val="2C480373"/>
    <w:rsid w:val="2C4A6E97"/>
    <w:rsid w:val="2C6941AB"/>
    <w:rsid w:val="2C6D614E"/>
    <w:rsid w:val="2C714E0E"/>
    <w:rsid w:val="2C762F66"/>
    <w:rsid w:val="2CC85B89"/>
    <w:rsid w:val="2D0A1DBB"/>
    <w:rsid w:val="2D0D4B37"/>
    <w:rsid w:val="2D335238"/>
    <w:rsid w:val="2D54314A"/>
    <w:rsid w:val="2D7674E9"/>
    <w:rsid w:val="2D845B08"/>
    <w:rsid w:val="2DBB0A37"/>
    <w:rsid w:val="2DBB7F4B"/>
    <w:rsid w:val="2DE36DAA"/>
    <w:rsid w:val="2DF67CC1"/>
    <w:rsid w:val="2DFD4BAB"/>
    <w:rsid w:val="2E023A64"/>
    <w:rsid w:val="2E2D013C"/>
    <w:rsid w:val="2E316055"/>
    <w:rsid w:val="2E38029C"/>
    <w:rsid w:val="2E4317F2"/>
    <w:rsid w:val="2E5829A2"/>
    <w:rsid w:val="2E9C43C4"/>
    <w:rsid w:val="2EB942C3"/>
    <w:rsid w:val="2EDD683E"/>
    <w:rsid w:val="2EE67D35"/>
    <w:rsid w:val="2EE8585B"/>
    <w:rsid w:val="2EEC2A9C"/>
    <w:rsid w:val="2EF02962"/>
    <w:rsid w:val="2F6023F1"/>
    <w:rsid w:val="2F631372"/>
    <w:rsid w:val="2FC90C20"/>
    <w:rsid w:val="2FE5765E"/>
    <w:rsid w:val="30185441"/>
    <w:rsid w:val="30393E95"/>
    <w:rsid w:val="30570E4E"/>
    <w:rsid w:val="30A520FE"/>
    <w:rsid w:val="30A56DDE"/>
    <w:rsid w:val="30AE1C6C"/>
    <w:rsid w:val="30B005FB"/>
    <w:rsid w:val="31014B88"/>
    <w:rsid w:val="310B6B56"/>
    <w:rsid w:val="31181CFC"/>
    <w:rsid w:val="31264419"/>
    <w:rsid w:val="313537BA"/>
    <w:rsid w:val="313D314E"/>
    <w:rsid w:val="31481E6B"/>
    <w:rsid w:val="317A135D"/>
    <w:rsid w:val="317F50EB"/>
    <w:rsid w:val="318F29B2"/>
    <w:rsid w:val="31C47020"/>
    <w:rsid w:val="31CF4CB2"/>
    <w:rsid w:val="322A618B"/>
    <w:rsid w:val="3233326A"/>
    <w:rsid w:val="323760AA"/>
    <w:rsid w:val="327332F1"/>
    <w:rsid w:val="3293272B"/>
    <w:rsid w:val="32A71F93"/>
    <w:rsid w:val="333C1108"/>
    <w:rsid w:val="334A16FF"/>
    <w:rsid w:val="335A2E87"/>
    <w:rsid w:val="33703EB0"/>
    <w:rsid w:val="33735C77"/>
    <w:rsid w:val="33C50529"/>
    <w:rsid w:val="33E704BB"/>
    <w:rsid w:val="33E710D5"/>
    <w:rsid w:val="34067514"/>
    <w:rsid w:val="340B21E3"/>
    <w:rsid w:val="340E671C"/>
    <w:rsid w:val="342411C4"/>
    <w:rsid w:val="342A5F2C"/>
    <w:rsid w:val="342B2C5D"/>
    <w:rsid w:val="34381442"/>
    <w:rsid w:val="345935E5"/>
    <w:rsid w:val="346F60D7"/>
    <w:rsid w:val="347E631A"/>
    <w:rsid w:val="348A4CBF"/>
    <w:rsid w:val="34984755"/>
    <w:rsid w:val="34D77D44"/>
    <w:rsid w:val="34E95609"/>
    <w:rsid w:val="34EB7E53"/>
    <w:rsid w:val="355F77E4"/>
    <w:rsid w:val="357F234A"/>
    <w:rsid w:val="35BD06AA"/>
    <w:rsid w:val="35D07CD5"/>
    <w:rsid w:val="36113FC2"/>
    <w:rsid w:val="364907A3"/>
    <w:rsid w:val="365F0FE4"/>
    <w:rsid w:val="36792EB9"/>
    <w:rsid w:val="36897924"/>
    <w:rsid w:val="36A032E4"/>
    <w:rsid w:val="36A30E8C"/>
    <w:rsid w:val="36CF0B2F"/>
    <w:rsid w:val="36EE1596"/>
    <w:rsid w:val="370945C1"/>
    <w:rsid w:val="374A0184"/>
    <w:rsid w:val="374D6C08"/>
    <w:rsid w:val="377673E7"/>
    <w:rsid w:val="37787B2D"/>
    <w:rsid w:val="378D61E4"/>
    <w:rsid w:val="3790083E"/>
    <w:rsid w:val="37B273EC"/>
    <w:rsid w:val="37C13D08"/>
    <w:rsid w:val="38166EAD"/>
    <w:rsid w:val="381C20D2"/>
    <w:rsid w:val="38D1245B"/>
    <w:rsid w:val="38DE31DB"/>
    <w:rsid w:val="38EA7D3C"/>
    <w:rsid w:val="38F22EBD"/>
    <w:rsid w:val="38F2461A"/>
    <w:rsid w:val="390E2953"/>
    <w:rsid w:val="39144CBA"/>
    <w:rsid w:val="393F076E"/>
    <w:rsid w:val="395747DA"/>
    <w:rsid w:val="396210CC"/>
    <w:rsid w:val="39746845"/>
    <w:rsid w:val="39884FF3"/>
    <w:rsid w:val="398E34F8"/>
    <w:rsid w:val="39900A80"/>
    <w:rsid w:val="39AE31FE"/>
    <w:rsid w:val="39BA4298"/>
    <w:rsid w:val="39C04F26"/>
    <w:rsid w:val="39E74CFF"/>
    <w:rsid w:val="39E83B6A"/>
    <w:rsid w:val="39EE5C9F"/>
    <w:rsid w:val="39F91007"/>
    <w:rsid w:val="3A2778B1"/>
    <w:rsid w:val="3A3760E6"/>
    <w:rsid w:val="3A3C0B99"/>
    <w:rsid w:val="3A482D92"/>
    <w:rsid w:val="3A6C63E3"/>
    <w:rsid w:val="3A6F4C80"/>
    <w:rsid w:val="3A7B4CAC"/>
    <w:rsid w:val="3AB72586"/>
    <w:rsid w:val="3AC3717D"/>
    <w:rsid w:val="3AEC222F"/>
    <w:rsid w:val="3AFF25AB"/>
    <w:rsid w:val="3B044EA2"/>
    <w:rsid w:val="3B1C12F3"/>
    <w:rsid w:val="3B422237"/>
    <w:rsid w:val="3B43394A"/>
    <w:rsid w:val="3B4C2CCE"/>
    <w:rsid w:val="3B761ACD"/>
    <w:rsid w:val="3BCC08D7"/>
    <w:rsid w:val="3BE439CC"/>
    <w:rsid w:val="3C4B567C"/>
    <w:rsid w:val="3C595C27"/>
    <w:rsid w:val="3C782F42"/>
    <w:rsid w:val="3CE83692"/>
    <w:rsid w:val="3D144C6C"/>
    <w:rsid w:val="3D3611B8"/>
    <w:rsid w:val="3D3966F2"/>
    <w:rsid w:val="3D5300FF"/>
    <w:rsid w:val="3D69400B"/>
    <w:rsid w:val="3D89645B"/>
    <w:rsid w:val="3D9170BE"/>
    <w:rsid w:val="3D9D4C9C"/>
    <w:rsid w:val="3DA70690"/>
    <w:rsid w:val="3DB838F3"/>
    <w:rsid w:val="3E4920FF"/>
    <w:rsid w:val="3E4B720B"/>
    <w:rsid w:val="3E7E5C21"/>
    <w:rsid w:val="3E9514D0"/>
    <w:rsid w:val="3E9C50D2"/>
    <w:rsid w:val="3EA323CE"/>
    <w:rsid w:val="3EA80B63"/>
    <w:rsid w:val="3EB26F8D"/>
    <w:rsid w:val="3ECE0618"/>
    <w:rsid w:val="3ED60935"/>
    <w:rsid w:val="3ED853CE"/>
    <w:rsid w:val="3EF9316D"/>
    <w:rsid w:val="3F086863"/>
    <w:rsid w:val="3F0D02E8"/>
    <w:rsid w:val="3F152851"/>
    <w:rsid w:val="3F185CE9"/>
    <w:rsid w:val="3F337067"/>
    <w:rsid w:val="3F8D038C"/>
    <w:rsid w:val="3F9136AE"/>
    <w:rsid w:val="3FA318F5"/>
    <w:rsid w:val="3FB462FA"/>
    <w:rsid w:val="3FC50DE2"/>
    <w:rsid w:val="3FE71217"/>
    <w:rsid w:val="40097AF8"/>
    <w:rsid w:val="401321A5"/>
    <w:rsid w:val="402F396B"/>
    <w:rsid w:val="40327F41"/>
    <w:rsid w:val="40890C2C"/>
    <w:rsid w:val="409E6873"/>
    <w:rsid w:val="40A35A86"/>
    <w:rsid w:val="40A90417"/>
    <w:rsid w:val="40B720E8"/>
    <w:rsid w:val="40C76BBF"/>
    <w:rsid w:val="40D96AB9"/>
    <w:rsid w:val="41083453"/>
    <w:rsid w:val="410D1152"/>
    <w:rsid w:val="411335A6"/>
    <w:rsid w:val="412169AB"/>
    <w:rsid w:val="412455BA"/>
    <w:rsid w:val="41727207"/>
    <w:rsid w:val="41D85470"/>
    <w:rsid w:val="42072A91"/>
    <w:rsid w:val="42187DAE"/>
    <w:rsid w:val="421F738E"/>
    <w:rsid w:val="42253C46"/>
    <w:rsid w:val="423B31B5"/>
    <w:rsid w:val="42687EB7"/>
    <w:rsid w:val="42704F4C"/>
    <w:rsid w:val="427174BE"/>
    <w:rsid w:val="427C36B0"/>
    <w:rsid w:val="427E2307"/>
    <w:rsid w:val="42924546"/>
    <w:rsid w:val="42942C5A"/>
    <w:rsid w:val="42A34465"/>
    <w:rsid w:val="42B16AFA"/>
    <w:rsid w:val="42B2456A"/>
    <w:rsid w:val="42DD6C4B"/>
    <w:rsid w:val="42F04D8F"/>
    <w:rsid w:val="42F56EFD"/>
    <w:rsid w:val="431B5DA8"/>
    <w:rsid w:val="43237164"/>
    <w:rsid w:val="435B6436"/>
    <w:rsid w:val="43725498"/>
    <w:rsid w:val="4399386B"/>
    <w:rsid w:val="43AC18C1"/>
    <w:rsid w:val="43C24475"/>
    <w:rsid w:val="43CB5548"/>
    <w:rsid w:val="43CC63FD"/>
    <w:rsid w:val="43E51868"/>
    <w:rsid w:val="43FA3C0F"/>
    <w:rsid w:val="44094F51"/>
    <w:rsid w:val="443664D8"/>
    <w:rsid w:val="44557097"/>
    <w:rsid w:val="446C7D3C"/>
    <w:rsid w:val="44715B0B"/>
    <w:rsid w:val="448C516A"/>
    <w:rsid w:val="44C87CC5"/>
    <w:rsid w:val="45034D45"/>
    <w:rsid w:val="45466251"/>
    <w:rsid w:val="454956AB"/>
    <w:rsid w:val="45516648"/>
    <w:rsid w:val="456B1395"/>
    <w:rsid w:val="45701CAF"/>
    <w:rsid w:val="457B1A1A"/>
    <w:rsid w:val="45B417D2"/>
    <w:rsid w:val="45FF1137"/>
    <w:rsid w:val="462A4FED"/>
    <w:rsid w:val="463541EA"/>
    <w:rsid w:val="463C5E19"/>
    <w:rsid w:val="46513FED"/>
    <w:rsid w:val="467F03FC"/>
    <w:rsid w:val="46AC5FCB"/>
    <w:rsid w:val="46BB7E19"/>
    <w:rsid w:val="46D87554"/>
    <w:rsid w:val="46EA393A"/>
    <w:rsid w:val="47032C24"/>
    <w:rsid w:val="471A45C8"/>
    <w:rsid w:val="47523ABF"/>
    <w:rsid w:val="476870E2"/>
    <w:rsid w:val="476B42E2"/>
    <w:rsid w:val="47961EA1"/>
    <w:rsid w:val="47BC298A"/>
    <w:rsid w:val="47BC315F"/>
    <w:rsid w:val="47C02A7A"/>
    <w:rsid w:val="47E0311C"/>
    <w:rsid w:val="47E330FE"/>
    <w:rsid w:val="47FE17F4"/>
    <w:rsid w:val="480E7B95"/>
    <w:rsid w:val="484336AB"/>
    <w:rsid w:val="48552138"/>
    <w:rsid w:val="485C3AE1"/>
    <w:rsid w:val="48674A07"/>
    <w:rsid w:val="487A2378"/>
    <w:rsid w:val="48B16746"/>
    <w:rsid w:val="48C917D7"/>
    <w:rsid w:val="48F6132F"/>
    <w:rsid w:val="48F6374D"/>
    <w:rsid w:val="48F74BC1"/>
    <w:rsid w:val="49486249"/>
    <w:rsid w:val="49603EAD"/>
    <w:rsid w:val="49627A2D"/>
    <w:rsid w:val="49752C0D"/>
    <w:rsid w:val="49793828"/>
    <w:rsid w:val="4988446F"/>
    <w:rsid w:val="499B525F"/>
    <w:rsid w:val="499C4755"/>
    <w:rsid w:val="499C5208"/>
    <w:rsid w:val="49A67583"/>
    <w:rsid w:val="49A93E86"/>
    <w:rsid w:val="49B900A3"/>
    <w:rsid w:val="49C425C9"/>
    <w:rsid w:val="49F578D7"/>
    <w:rsid w:val="4A2B4BAB"/>
    <w:rsid w:val="4A302506"/>
    <w:rsid w:val="4A3C14E4"/>
    <w:rsid w:val="4A677152"/>
    <w:rsid w:val="4A7933B4"/>
    <w:rsid w:val="4A82495E"/>
    <w:rsid w:val="4A97571D"/>
    <w:rsid w:val="4A9B77CE"/>
    <w:rsid w:val="4AB31D0F"/>
    <w:rsid w:val="4AB320D0"/>
    <w:rsid w:val="4AB33B3C"/>
    <w:rsid w:val="4AE02127"/>
    <w:rsid w:val="4AF54D75"/>
    <w:rsid w:val="4B09298A"/>
    <w:rsid w:val="4B145831"/>
    <w:rsid w:val="4B291FB8"/>
    <w:rsid w:val="4B374CDF"/>
    <w:rsid w:val="4B4709B6"/>
    <w:rsid w:val="4B4B4D50"/>
    <w:rsid w:val="4B582D83"/>
    <w:rsid w:val="4B5E1B6C"/>
    <w:rsid w:val="4B5F6B85"/>
    <w:rsid w:val="4B83462E"/>
    <w:rsid w:val="4B857F47"/>
    <w:rsid w:val="4BB7242C"/>
    <w:rsid w:val="4BC74E5A"/>
    <w:rsid w:val="4BD034A7"/>
    <w:rsid w:val="4BD50ABE"/>
    <w:rsid w:val="4BE70F37"/>
    <w:rsid w:val="4C4E3B55"/>
    <w:rsid w:val="4C561BFF"/>
    <w:rsid w:val="4C72786E"/>
    <w:rsid w:val="4C89181E"/>
    <w:rsid w:val="4C8E77C6"/>
    <w:rsid w:val="4C8F3363"/>
    <w:rsid w:val="4C93149C"/>
    <w:rsid w:val="4C9743B6"/>
    <w:rsid w:val="4CBD61AA"/>
    <w:rsid w:val="4CBE32BF"/>
    <w:rsid w:val="4CBF2885"/>
    <w:rsid w:val="4CC7615D"/>
    <w:rsid w:val="4CD01017"/>
    <w:rsid w:val="4CE578CA"/>
    <w:rsid w:val="4D160508"/>
    <w:rsid w:val="4D241A1C"/>
    <w:rsid w:val="4D461C73"/>
    <w:rsid w:val="4D4D6AF7"/>
    <w:rsid w:val="4D5A04EA"/>
    <w:rsid w:val="4D661B41"/>
    <w:rsid w:val="4D8562F3"/>
    <w:rsid w:val="4D9E000C"/>
    <w:rsid w:val="4DA84289"/>
    <w:rsid w:val="4DBC56C8"/>
    <w:rsid w:val="4DC65F48"/>
    <w:rsid w:val="4DD14A83"/>
    <w:rsid w:val="4DE343D9"/>
    <w:rsid w:val="4DF33804"/>
    <w:rsid w:val="4E103F53"/>
    <w:rsid w:val="4E347D1E"/>
    <w:rsid w:val="4E856160"/>
    <w:rsid w:val="4EEE5351"/>
    <w:rsid w:val="4EFE2BE3"/>
    <w:rsid w:val="4F1D2E5C"/>
    <w:rsid w:val="4F363F69"/>
    <w:rsid w:val="4F4274D0"/>
    <w:rsid w:val="4F8115BD"/>
    <w:rsid w:val="4FB745B4"/>
    <w:rsid w:val="4FDB48F5"/>
    <w:rsid w:val="4FE854A2"/>
    <w:rsid w:val="4FFE1D03"/>
    <w:rsid w:val="50277BC9"/>
    <w:rsid w:val="50282F8E"/>
    <w:rsid w:val="5040609E"/>
    <w:rsid w:val="504D0542"/>
    <w:rsid w:val="506011CC"/>
    <w:rsid w:val="506409CE"/>
    <w:rsid w:val="509168AF"/>
    <w:rsid w:val="50C312D1"/>
    <w:rsid w:val="50CD0EFD"/>
    <w:rsid w:val="51004D18"/>
    <w:rsid w:val="510713D6"/>
    <w:rsid w:val="513733A0"/>
    <w:rsid w:val="51512859"/>
    <w:rsid w:val="515A05F5"/>
    <w:rsid w:val="51675575"/>
    <w:rsid w:val="516B614C"/>
    <w:rsid w:val="51A41581"/>
    <w:rsid w:val="51B922AB"/>
    <w:rsid w:val="51CF3F45"/>
    <w:rsid w:val="520C4C6B"/>
    <w:rsid w:val="521B3757"/>
    <w:rsid w:val="523D3114"/>
    <w:rsid w:val="52485036"/>
    <w:rsid w:val="526B4A0A"/>
    <w:rsid w:val="527C3D37"/>
    <w:rsid w:val="52AF3FC5"/>
    <w:rsid w:val="52B87065"/>
    <w:rsid w:val="52EA1664"/>
    <w:rsid w:val="52EC1518"/>
    <w:rsid w:val="52F516CA"/>
    <w:rsid w:val="5325232B"/>
    <w:rsid w:val="53263C79"/>
    <w:rsid w:val="533B387E"/>
    <w:rsid w:val="533D5341"/>
    <w:rsid w:val="53456529"/>
    <w:rsid w:val="53566970"/>
    <w:rsid w:val="53732858"/>
    <w:rsid w:val="53840D3D"/>
    <w:rsid w:val="53D32E6C"/>
    <w:rsid w:val="53E15811"/>
    <w:rsid w:val="53FB4F58"/>
    <w:rsid w:val="540208BE"/>
    <w:rsid w:val="54027533"/>
    <w:rsid w:val="54411FA2"/>
    <w:rsid w:val="5443491C"/>
    <w:rsid w:val="54492049"/>
    <w:rsid w:val="545A24A8"/>
    <w:rsid w:val="54704990"/>
    <w:rsid w:val="549F6D9D"/>
    <w:rsid w:val="54AD0246"/>
    <w:rsid w:val="54F31FD7"/>
    <w:rsid w:val="55044322"/>
    <w:rsid w:val="55102F19"/>
    <w:rsid w:val="554C1450"/>
    <w:rsid w:val="55514FE8"/>
    <w:rsid w:val="55552C0B"/>
    <w:rsid w:val="555C4981"/>
    <w:rsid w:val="555C4E2D"/>
    <w:rsid w:val="55603AEE"/>
    <w:rsid w:val="557261A5"/>
    <w:rsid w:val="557406E8"/>
    <w:rsid w:val="557E217C"/>
    <w:rsid w:val="558275C0"/>
    <w:rsid w:val="55B668EA"/>
    <w:rsid w:val="55C403BC"/>
    <w:rsid w:val="55C901F5"/>
    <w:rsid w:val="55E165EB"/>
    <w:rsid w:val="55E75DBD"/>
    <w:rsid w:val="55F42ED7"/>
    <w:rsid w:val="560501F2"/>
    <w:rsid w:val="56336B0D"/>
    <w:rsid w:val="564705DA"/>
    <w:rsid w:val="565473BC"/>
    <w:rsid w:val="565A4486"/>
    <w:rsid w:val="567A7A0A"/>
    <w:rsid w:val="569C495E"/>
    <w:rsid w:val="56C26D99"/>
    <w:rsid w:val="56DB16A4"/>
    <w:rsid w:val="56DF58C0"/>
    <w:rsid w:val="56E147BB"/>
    <w:rsid w:val="57187FE8"/>
    <w:rsid w:val="573858DE"/>
    <w:rsid w:val="573A3ECB"/>
    <w:rsid w:val="57B823F5"/>
    <w:rsid w:val="57BE17D1"/>
    <w:rsid w:val="57D32355"/>
    <w:rsid w:val="57DB745C"/>
    <w:rsid w:val="583D1EC5"/>
    <w:rsid w:val="58755A9D"/>
    <w:rsid w:val="587578B0"/>
    <w:rsid w:val="588C3F04"/>
    <w:rsid w:val="58C34998"/>
    <w:rsid w:val="58DE20A4"/>
    <w:rsid w:val="58E83DEC"/>
    <w:rsid w:val="58F87FBB"/>
    <w:rsid w:val="591231C6"/>
    <w:rsid w:val="592A4855"/>
    <w:rsid w:val="59402C3A"/>
    <w:rsid w:val="594149BA"/>
    <w:rsid w:val="596B564C"/>
    <w:rsid w:val="597867DC"/>
    <w:rsid w:val="59836724"/>
    <w:rsid w:val="599C4B94"/>
    <w:rsid w:val="59B90128"/>
    <w:rsid w:val="59E326B0"/>
    <w:rsid w:val="59ED450E"/>
    <w:rsid w:val="59EF06CC"/>
    <w:rsid w:val="5A05450C"/>
    <w:rsid w:val="5A0A60B2"/>
    <w:rsid w:val="5A264376"/>
    <w:rsid w:val="5A380B96"/>
    <w:rsid w:val="5A3A6325"/>
    <w:rsid w:val="5A58507F"/>
    <w:rsid w:val="5A67797C"/>
    <w:rsid w:val="5A8A25AA"/>
    <w:rsid w:val="5A995CEF"/>
    <w:rsid w:val="5ABF016F"/>
    <w:rsid w:val="5ADD33C8"/>
    <w:rsid w:val="5AE12B82"/>
    <w:rsid w:val="5AFD3402"/>
    <w:rsid w:val="5B2737C5"/>
    <w:rsid w:val="5B5A5D02"/>
    <w:rsid w:val="5B6E783F"/>
    <w:rsid w:val="5B7A08A2"/>
    <w:rsid w:val="5B8837FD"/>
    <w:rsid w:val="5B9147BD"/>
    <w:rsid w:val="5B972DD6"/>
    <w:rsid w:val="5BA85EEE"/>
    <w:rsid w:val="5BBB5E85"/>
    <w:rsid w:val="5BC03DE2"/>
    <w:rsid w:val="5BC86251"/>
    <w:rsid w:val="5BCD11F6"/>
    <w:rsid w:val="5BD24B57"/>
    <w:rsid w:val="5BE070DC"/>
    <w:rsid w:val="5BE1734D"/>
    <w:rsid w:val="5C19698B"/>
    <w:rsid w:val="5C71213D"/>
    <w:rsid w:val="5C91499F"/>
    <w:rsid w:val="5CAF2E9D"/>
    <w:rsid w:val="5CBF3BEB"/>
    <w:rsid w:val="5CD91AE3"/>
    <w:rsid w:val="5CDF380C"/>
    <w:rsid w:val="5CFC665A"/>
    <w:rsid w:val="5D0D455B"/>
    <w:rsid w:val="5D294D8B"/>
    <w:rsid w:val="5D4355AA"/>
    <w:rsid w:val="5D4976D1"/>
    <w:rsid w:val="5D521F6E"/>
    <w:rsid w:val="5D720862"/>
    <w:rsid w:val="5D8F5D8E"/>
    <w:rsid w:val="5DE54B90"/>
    <w:rsid w:val="5E475C6B"/>
    <w:rsid w:val="5E594768"/>
    <w:rsid w:val="5E6546B1"/>
    <w:rsid w:val="5E6D5771"/>
    <w:rsid w:val="5E985D33"/>
    <w:rsid w:val="5E9D693B"/>
    <w:rsid w:val="5EA20CD3"/>
    <w:rsid w:val="5EC76CF3"/>
    <w:rsid w:val="5EF77271"/>
    <w:rsid w:val="5F0806C0"/>
    <w:rsid w:val="5F105623"/>
    <w:rsid w:val="5F214EA0"/>
    <w:rsid w:val="5F5046EA"/>
    <w:rsid w:val="5F5C70D4"/>
    <w:rsid w:val="5F603403"/>
    <w:rsid w:val="5F6274AD"/>
    <w:rsid w:val="5F62768C"/>
    <w:rsid w:val="5F6653AB"/>
    <w:rsid w:val="5F8D3F67"/>
    <w:rsid w:val="5F8F32D6"/>
    <w:rsid w:val="5FA8056B"/>
    <w:rsid w:val="5FB82E15"/>
    <w:rsid w:val="5FBF7663"/>
    <w:rsid w:val="600862CC"/>
    <w:rsid w:val="601D1CCD"/>
    <w:rsid w:val="602D616E"/>
    <w:rsid w:val="605B738C"/>
    <w:rsid w:val="60616F7A"/>
    <w:rsid w:val="608D150F"/>
    <w:rsid w:val="609E371C"/>
    <w:rsid w:val="60A056BD"/>
    <w:rsid w:val="60B82FE3"/>
    <w:rsid w:val="60D719A0"/>
    <w:rsid w:val="60DA6796"/>
    <w:rsid w:val="60E22A4F"/>
    <w:rsid w:val="60E458DB"/>
    <w:rsid w:val="60FF7CF1"/>
    <w:rsid w:val="61057441"/>
    <w:rsid w:val="61151C31"/>
    <w:rsid w:val="61512849"/>
    <w:rsid w:val="615E6BBC"/>
    <w:rsid w:val="619012B7"/>
    <w:rsid w:val="61981601"/>
    <w:rsid w:val="61AD4A4F"/>
    <w:rsid w:val="61B33DF4"/>
    <w:rsid w:val="61B3707D"/>
    <w:rsid w:val="61DD1720"/>
    <w:rsid w:val="61DD72E2"/>
    <w:rsid w:val="62376F2A"/>
    <w:rsid w:val="62695C01"/>
    <w:rsid w:val="627B71A0"/>
    <w:rsid w:val="62955017"/>
    <w:rsid w:val="62C57D6D"/>
    <w:rsid w:val="62D2773A"/>
    <w:rsid w:val="62EB4CB0"/>
    <w:rsid w:val="62EC6A1C"/>
    <w:rsid w:val="62FD5A3E"/>
    <w:rsid w:val="630D3399"/>
    <w:rsid w:val="635242E6"/>
    <w:rsid w:val="63846BFA"/>
    <w:rsid w:val="63BD580E"/>
    <w:rsid w:val="63C811DC"/>
    <w:rsid w:val="63D119F0"/>
    <w:rsid w:val="63D567E0"/>
    <w:rsid w:val="63EC5877"/>
    <w:rsid w:val="63FE7893"/>
    <w:rsid w:val="64236413"/>
    <w:rsid w:val="643E4883"/>
    <w:rsid w:val="64533F67"/>
    <w:rsid w:val="647911E5"/>
    <w:rsid w:val="64794284"/>
    <w:rsid w:val="64801AB7"/>
    <w:rsid w:val="64810CD7"/>
    <w:rsid w:val="64C41560"/>
    <w:rsid w:val="651D4024"/>
    <w:rsid w:val="652A37D1"/>
    <w:rsid w:val="6530528B"/>
    <w:rsid w:val="65445E53"/>
    <w:rsid w:val="65476DE0"/>
    <w:rsid w:val="656C52F5"/>
    <w:rsid w:val="656E46F5"/>
    <w:rsid w:val="6587151F"/>
    <w:rsid w:val="65875458"/>
    <w:rsid w:val="659A6358"/>
    <w:rsid w:val="66154DA9"/>
    <w:rsid w:val="661C2944"/>
    <w:rsid w:val="66305004"/>
    <w:rsid w:val="664408C2"/>
    <w:rsid w:val="6663200A"/>
    <w:rsid w:val="666D45F5"/>
    <w:rsid w:val="667A621B"/>
    <w:rsid w:val="668A0C96"/>
    <w:rsid w:val="66C51E77"/>
    <w:rsid w:val="66CA4BFC"/>
    <w:rsid w:val="66D76745"/>
    <w:rsid w:val="66F44096"/>
    <w:rsid w:val="66FE0769"/>
    <w:rsid w:val="6719585F"/>
    <w:rsid w:val="67545BDB"/>
    <w:rsid w:val="67577629"/>
    <w:rsid w:val="67584625"/>
    <w:rsid w:val="676737E1"/>
    <w:rsid w:val="676F7BC1"/>
    <w:rsid w:val="67705E13"/>
    <w:rsid w:val="67834660"/>
    <w:rsid w:val="678D1CBA"/>
    <w:rsid w:val="67A735B1"/>
    <w:rsid w:val="67B101D9"/>
    <w:rsid w:val="67CD75EE"/>
    <w:rsid w:val="67CE4ADF"/>
    <w:rsid w:val="67D77C40"/>
    <w:rsid w:val="67E40C82"/>
    <w:rsid w:val="67F027BB"/>
    <w:rsid w:val="67F26828"/>
    <w:rsid w:val="683C0234"/>
    <w:rsid w:val="684626D0"/>
    <w:rsid w:val="684E052E"/>
    <w:rsid w:val="68504D5D"/>
    <w:rsid w:val="68517DEF"/>
    <w:rsid w:val="68586FB0"/>
    <w:rsid w:val="68745011"/>
    <w:rsid w:val="6884144A"/>
    <w:rsid w:val="68880AFE"/>
    <w:rsid w:val="68C20B1A"/>
    <w:rsid w:val="68D021AE"/>
    <w:rsid w:val="68EB75F5"/>
    <w:rsid w:val="68EF4209"/>
    <w:rsid w:val="68F93BE6"/>
    <w:rsid w:val="690C6521"/>
    <w:rsid w:val="690F3217"/>
    <w:rsid w:val="69325A58"/>
    <w:rsid w:val="69387724"/>
    <w:rsid w:val="693E2568"/>
    <w:rsid w:val="69777C6C"/>
    <w:rsid w:val="698D71DA"/>
    <w:rsid w:val="69AD0D62"/>
    <w:rsid w:val="69F26723"/>
    <w:rsid w:val="6A073EE7"/>
    <w:rsid w:val="6A140485"/>
    <w:rsid w:val="6A3262CF"/>
    <w:rsid w:val="6A5D01D6"/>
    <w:rsid w:val="6A7131C2"/>
    <w:rsid w:val="6A971908"/>
    <w:rsid w:val="6A9A4F55"/>
    <w:rsid w:val="6AAD5F0E"/>
    <w:rsid w:val="6AD2649C"/>
    <w:rsid w:val="6AFF070D"/>
    <w:rsid w:val="6B0D0471"/>
    <w:rsid w:val="6B147BB1"/>
    <w:rsid w:val="6B1B0049"/>
    <w:rsid w:val="6B325BF7"/>
    <w:rsid w:val="6B433366"/>
    <w:rsid w:val="6B481316"/>
    <w:rsid w:val="6B5C4271"/>
    <w:rsid w:val="6B7F4DF5"/>
    <w:rsid w:val="6B81470D"/>
    <w:rsid w:val="6B831DDD"/>
    <w:rsid w:val="6B8C1A88"/>
    <w:rsid w:val="6BA01F21"/>
    <w:rsid w:val="6BAD38C4"/>
    <w:rsid w:val="6BAF473A"/>
    <w:rsid w:val="6C046B2A"/>
    <w:rsid w:val="6C3F24CA"/>
    <w:rsid w:val="6C4258A4"/>
    <w:rsid w:val="6C762E7E"/>
    <w:rsid w:val="6C792F32"/>
    <w:rsid w:val="6CA029A4"/>
    <w:rsid w:val="6CD14C35"/>
    <w:rsid w:val="6CDC0141"/>
    <w:rsid w:val="6CDD4ECA"/>
    <w:rsid w:val="6CDF30F3"/>
    <w:rsid w:val="6D00090C"/>
    <w:rsid w:val="6D352454"/>
    <w:rsid w:val="6D517303"/>
    <w:rsid w:val="6D5E6EBF"/>
    <w:rsid w:val="6D6209B3"/>
    <w:rsid w:val="6D6B416B"/>
    <w:rsid w:val="6D6F091A"/>
    <w:rsid w:val="6D814106"/>
    <w:rsid w:val="6D9A0DE0"/>
    <w:rsid w:val="6DA5362C"/>
    <w:rsid w:val="6DD57255"/>
    <w:rsid w:val="6E295D37"/>
    <w:rsid w:val="6E773905"/>
    <w:rsid w:val="6E8977BA"/>
    <w:rsid w:val="6EA919D1"/>
    <w:rsid w:val="6EC7115E"/>
    <w:rsid w:val="6ED72B03"/>
    <w:rsid w:val="6EDE3C7C"/>
    <w:rsid w:val="6F333DF6"/>
    <w:rsid w:val="6F4F0C4A"/>
    <w:rsid w:val="6F5E0C47"/>
    <w:rsid w:val="6F650362"/>
    <w:rsid w:val="6FAD2C07"/>
    <w:rsid w:val="6FB77BC2"/>
    <w:rsid w:val="6FC9025E"/>
    <w:rsid w:val="6FD643FD"/>
    <w:rsid w:val="6FDB4045"/>
    <w:rsid w:val="6FE11A2E"/>
    <w:rsid w:val="6FEB253B"/>
    <w:rsid w:val="7020414E"/>
    <w:rsid w:val="70334BDC"/>
    <w:rsid w:val="703A0A96"/>
    <w:rsid w:val="707A6742"/>
    <w:rsid w:val="70816DF3"/>
    <w:rsid w:val="70E262C1"/>
    <w:rsid w:val="70EA2966"/>
    <w:rsid w:val="70F25E2D"/>
    <w:rsid w:val="70F72979"/>
    <w:rsid w:val="710B2AA7"/>
    <w:rsid w:val="71105190"/>
    <w:rsid w:val="711C0906"/>
    <w:rsid w:val="712041A8"/>
    <w:rsid w:val="71617E94"/>
    <w:rsid w:val="71706A0F"/>
    <w:rsid w:val="717D2AD1"/>
    <w:rsid w:val="718F50E7"/>
    <w:rsid w:val="71A2507A"/>
    <w:rsid w:val="71C8398B"/>
    <w:rsid w:val="71C860A6"/>
    <w:rsid w:val="71E936DD"/>
    <w:rsid w:val="720F447A"/>
    <w:rsid w:val="72191F9B"/>
    <w:rsid w:val="722865D8"/>
    <w:rsid w:val="723A4D11"/>
    <w:rsid w:val="72752E54"/>
    <w:rsid w:val="72C66B7A"/>
    <w:rsid w:val="72D059B7"/>
    <w:rsid w:val="734D2A54"/>
    <w:rsid w:val="73706993"/>
    <w:rsid w:val="73906DEC"/>
    <w:rsid w:val="73A50FC7"/>
    <w:rsid w:val="73BA353C"/>
    <w:rsid w:val="73BC0175"/>
    <w:rsid w:val="73CB1207"/>
    <w:rsid w:val="73D764C3"/>
    <w:rsid w:val="73EC0D1D"/>
    <w:rsid w:val="73F618CA"/>
    <w:rsid w:val="73F863E7"/>
    <w:rsid w:val="73FC47D8"/>
    <w:rsid w:val="741C69DA"/>
    <w:rsid w:val="74363688"/>
    <w:rsid w:val="743E2A1A"/>
    <w:rsid w:val="746C7903"/>
    <w:rsid w:val="7471028E"/>
    <w:rsid w:val="74745943"/>
    <w:rsid w:val="748327F1"/>
    <w:rsid w:val="74D36757"/>
    <w:rsid w:val="74E279D7"/>
    <w:rsid w:val="74EC7067"/>
    <w:rsid w:val="74F535EB"/>
    <w:rsid w:val="74F66D61"/>
    <w:rsid w:val="7518619B"/>
    <w:rsid w:val="752C2E90"/>
    <w:rsid w:val="752C5223"/>
    <w:rsid w:val="75596138"/>
    <w:rsid w:val="755C71B3"/>
    <w:rsid w:val="756643B1"/>
    <w:rsid w:val="75772547"/>
    <w:rsid w:val="75812E8C"/>
    <w:rsid w:val="75A242DA"/>
    <w:rsid w:val="75AD5E96"/>
    <w:rsid w:val="75DD0582"/>
    <w:rsid w:val="7602353D"/>
    <w:rsid w:val="761B7D80"/>
    <w:rsid w:val="76326989"/>
    <w:rsid w:val="76327BCA"/>
    <w:rsid w:val="76351557"/>
    <w:rsid w:val="76382F12"/>
    <w:rsid w:val="764D1423"/>
    <w:rsid w:val="76832D58"/>
    <w:rsid w:val="76872831"/>
    <w:rsid w:val="76A442D9"/>
    <w:rsid w:val="76C70E7F"/>
    <w:rsid w:val="76E23F0B"/>
    <w:rsid w:val="76F50389"/>
    <w:rsid w:val="76FF0D5C"/>
    <w:rsid w:val="77071BC4"/>
    <w:rsid w:val="771B11CB"/>
    <w:rsid w:val="773615C6"/>
    <w:rsid w:val="77420372"/>
    <w:rsid w:val="77523F79"/>
    <w:rsid w:val="77A2495F"/>
    <w:rsid w:val="77CB1A30"/>
    <w:rsid w:val="77D2134A"/>
    <w:rsid w:val="77EE0437"/>
    <w:rsid w:val="78376243"/>
    <w:rsid w:val="78611AEB"/>
    <w:rsid w:val="788E5C50"/>
    <w:rsid w:val="7899622E"/>
    <w:rsid w:val="78A22E45"/>
    <w:rsid w:val="78BB623B"/>
    <w:rsid w:val="78CA096D"/>
    <w:rsid w:val="78E34B02"/>
    <w:rsid w:val="78EC7C28"/>
    <w:rsid w:val="78FE6989"/>
    <w:rsid w:val="790F6EE9"/>
    <w:rsid w:val="793F707A"/>
    <w:rsid w:val="794D516C"/>
    <w:rsid w:val="79780B32"/>
    <w:rsid w:val="79880773"/>
    <w:rsid w:val="799460F3"/>
    <w:rsid w:val="799534B7"/>
    <w:rsid w:val="7A2860D9"/>
    <w:rsid w:val="7A2B2B3C"/>
    <w:rsid w:val="7A2D347F"/>
    <w:rsid w:val="7A7F1A71"/>
    <w:rsid w:val="7A960E55"/>
    <w:rsid w:val="7AA5049C"/>
    <w:rsid w:val="7AA8721A"/>
    <w:rsid w:val="7AC1417C"/>
    <w:rsid w:val="7AC322A6"/>
    <w:rsid w:val="7ADC77A9"/>
    <w:rsid w:val="7AF44F7D"/>
    <w:rsid w:val="7AFF62DC"/>
    <w:rsid w:val="7B05641A"/>
    <w:rsid w:val="7B0C5376"/>
    <w:rsid w:val="7B1F572E"/>
    <w:rsid w:val="7B330CC4"/>
    <w:rsid w:val="7B4A6F00"/>
    <w:rsid w:val="7B6E5D6D"/>
    <w:rsid w:val="7B8047D3"/>
    <w:rsid w:val="7B821819"/>
    <w:rsid w:val="7B985D96"/>
    <w:rsid w:val="7B9A5BD4"/>
    <w:rsid w:val="7BA424DD"/>
    <w:rsid w:val="7BC736D0"/>
    <w:rsid w:val="7BE10C35"/>
    <w:rsid w:val="7BE411B1"/>
    <w:rsid w:val="7BE80357"/>
    <w:rsid w:val="7C120DEF"/>
    <w:rsid w:val="7C1C3228"/>
    <w:rsid w:val="7C1D6C5B"/>
    <w:rsid w:val="7C222284"/>
    <w:rsid w:val="7C4A6920"/>
    <w:rsid w:val="7C565B18"/>
    <w:rsid w:val="7C5D383B"/>
    <w:rsid w:val="7C8133E5"/>
    <w:rsid w:val="7C8F229B"/>
    <w:rsid w:val="7C920181"/>
    <w:rsid w:val="7CA66DB2"/>
    <w:rsid w:val="7CAB4B3C"/>
    <w:rsid w:val="7CB03993"/>
    <w:rsid w:val="7CB34B68"/>
    <w:rsid w:val="7CC47E06"/>
    <w:rsid w:val="7CD267D0"/>
    <w:rsid w:val="7CFE2788"/>
    <w:rsid w:val="7D0D2788"/>
    <w:rsid w:val="7D0E21AB"/>
    <w:rsid w:val="7D777901"/>
    <w:rsid w:val="7DE12D01"/>
    <w:rsid w:val="7DE33C3D"/>
    <w:rsid w:val="7DE50F68"/>
    <w:rsid w:val="7E19391B"/>
    <w:rsid w:val="7E1F71FF"/>
    <w:rsid w:val="7E4640AA"/>
    <w:rsid w:val="7E6B6FDD"/>
    <w:rsid w:val="7EC5068B"/>
    <w:rsid w:val="7EC938A8"/>
    <w:rsid w:val="7ED26E31"/>
    <w:rsid w:val="7EE61288"/>
    <w:rsid w:val="7EEE56AC"/>
    <w:rsid w:val="7F03689B"/>
    <w:rsid w:val="7F342EBD"/>
    <w:rsid w:val="7F403EC5"/>
    <w:rsid w:val="7F7A0D54"/>
    <w:rsid w:val="7F8544C8"/>
    <w:rsid w:val="7F983D01"/>
    <w:rsid w:val="7FA2248A"/>
    <w:rsid w:val="7FB0104A"/>
    <w:rsid w:val="7FCA378E"/>
    <w:rsid w:val="7FEA4A59"/>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00" w:lineRule="exact"/>
      <w:ind w:firstLine="504" w:firstLineChars="200"/>
      <w:jc w:val="both"/>
    </w:pPr>
    <w:rPr>
      <w:rFonts w:ascii="Times New Roman" w:hAnsi="Times New Roman" w:eastAsia="仿宋" w:cs="Times New Roman"/>
      <w:kern w:val="2"/>
      <w:sz w:val="24"/>
      <w:szCs w:val="24"/>
      <w:lang w:val="en-US" w:eastAsia="zh-CN" w:bidi="ar-SA"/>
    </w:rPr>
  </w:style>
  <w:style w:type="paragraph" w:styleId="3">
    <w:name w:val="heading 1"/>
    <w:basedOn w:val="1"/>
    <w:next w:val="1"/>
    <w:link w:val="69"/>
    <w:autoRedefine/>
    <w:qFormat/>
    <w:uiPriority w:val="0"/>
    <w:pPr>
      <w:keepNext/>
      <w:keepLines/>
      <w:tabs>
        <w:tab w:val="left" w:pos="432"/>
      </w:tabs>
      <w:spacing w:before="20" w:after="20" w:line="240" w:lineRule="auto"/>
      <w:ind w:firstLine="0" w:firstLineChars="0"/>
      <w:jc w:val="center"/>
      <w:outlineLvl w:val="0"/>
    </w:pPr>
    <w:rPr>
      <w:b/>
      <w:bCs/>
      <w:kern w:val="44"/>
      <w:sz w:val="44"/>
      <w:szCs w:val="44"/>
    </w:rPr>
  </w:style>
  <w:style w:type="paragraph" w:styleId="4">
    <w:name w:val="heading 2"/>
    <w:basedOn w:val="1"/>
    <w:next w:val="1"/>
    <w:link w:val="67"/>
    <w:autoRedefine/>
    <w:unhideWhenUsed/>
    <w:qFormat/>
    <w:uiPriority w:val="0"/>
    <w:pPr>
      <w:keepNext/>
      <w:keepLines/>
      <w:tabs>
        <w:tab w:val="left" w:pos="2985"/>
      </w:tabs>
      <w:spacing w:beforeLines="50" w:afterLines="50"/>
      <w:ind w:firstLine="562"/>
      <w:outlineLvl w:val="1"/>
    </w:pPr>
    <w:rPr>
      <w:rFonts w:ascii="仿宋_GB2312" w:hAnsi="仿宋_GB2312"/>
      <w:b/>
      <w:bCs/>
      <w:kern w:val="0"/>
      <w:sz w:val="28"/>
      <w:szCs w:val="28"/>
      <w:lang w:val="zh-CN"/>
    </w:rPr>
  </w:style>
  <w:style w:type="paragraph" w:styleId="2">
    <w:name w:val="heading 3"/>
    <w:basedOn w:val="1"/>
    <w:next w:val="1"/>
    <w:link w:val="68"/>
    <w:autoRedefine/>
    <w:unhideWhenUsed/>
    <w:qFormat/>
    <w:uiPriority w:val="0"/>
    <w:pPr>
      <w:keepNext/>
      <w:keepLines/>
      <w:ind w:firstLine="420"/>
      <w:jc w:val="left"/>
      <w:outlineLvl w:val="2"/>
    </w:pPr>
    <w:rPr>
      <w:rFonts w:ascii="仿宋_GB2312" w:hAnsi="仿宋_GB2312" w:cs="黑体"/>
      <w:b/>
      <w:bCs/>
      <w:kern w:val="0"/>
      <w:szCs w:val="20"/>
    </w:rPr>
  </w:style>
  <w:style w:type="paragraph" w:styleId="5">
    <w:name w:val="heading 4"/>
    <w:basedOn w:val="1"/>
    <w:next w:val="1"/>
    <w:autoRedefine/>
    <w:unhideWhenUsed/>
    <w:qFormat/>
    <w:uiPriority w:val="0"/>
    <w:pPr>
      <w:keepNext/>
      <w:keepLines/>
      <w:numPr>
        <w:ilvl w:val="3"/>
        <w:numId w:val="1"/>
      </w:numPr>
      <w:tabs>
        <w:tab w:val="left" w:pos="5117"/>
      </w:tabs>
      <w:spacing w:before="280" w:after="290" w:line="372" w:lineRule="auto"/>
      <w:ind w:firstLine="0" w:firstLineChars="0"/>
      <w:outlineLvl w:val="3"/>
    </w:pPr>
    <w:rPr>
      <w:rFonts w:ascii="Arial" w:hAnsi="Arial" w:eastAsia="黑体"/>
      <w:b/>
      <w:sz w:val="28"/>
    </w:rPr>
  </w:style>
  <w:style w:type="paragraph" w:styleId="6">
    <w:name w:val="heading 5"/>
    <w:basedOn w:val="1"/>
    <w:next w:val="1"/>
    <w:autoRedefine/>
    <w:unhideWhenUsed/>
    <w:qFormat/>
    <w:uiPriority w:val="0"/>
    <w:pPr>
      <w:keepNext/>
      <w:keepLines/>
      <w:numPr>
        <w:ilvl w:val="4"/>
        <w:numId w:val="1"/>
      </w:numPr>
      <w:tabs>
        <w:tab w:val="left" w:pos="5117"/>
      </w:tabs>
      <w:spacing w:before="280" w:after="290" w:line="372" w:lineRule="auto"/>
      <w:ind w:firstLine="0" w:firstLineChars="0"/>
      <w:outlineLvl w:val="4"/>
    </w:pPr>
    <w:rPr>
      <w:b/>
      <w:sz w:val="28"/>
    </w:rPr>
  </w:style>
  <w:style w:type="paragraph" w:styleId="7">
    <w:name w:val="heading 6"/>
    <w:basedOn w:val="1"/>
    <w:next w:val="1"/>
    <w:autoRedefine/>
    <w:semiHidden/>
    <w:unhideWhenUsed/>
    <w:qFormat/>
    <w:uiPriority w:val="9"/>
    <w:pPr>
      <w:keepNext/>
      <w:keepLines/>
      <w:spacing w:before="40"/>
      <w:outlineLvl w:val="5"/>
    </w:pPr>
    <w:rPr>
      <w:color w:val="254061" w:themeColor="accent1" w:themeShade="80"/>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spacing w:line="240" w:lineRule="auto"/>
      <w:ind w:left="2520" w:leftChars="1200" w:firstLine="0" w:firstLineChars="0"/>
    </w:pPr>
    <w:rPr>
      <w:rFonts w:asciiTheme="minorHAnsi" w:hAnsiTheme="minorHAnsi" w:eastAsiaTheme="minorEastAsia" w:cstheme="minorBidi"/>
      <w:sz w:val="21"/>
      <w:szCs w:val="22"/>
    </w:rPr>
  </w:style>
  <w:style w:type="paragraph" w:styleId="9">
    <w:name w:val="Normal Indent"/>
    <w:basedOn w:val="1"/>
    <w:next w:val="10"/>
    <w:autoRedefine/>
    <w:qFormat/>
    <w:uiPriority w:val="0"/>
    <w:pPr>
      <w:ind w:firstLine="420"/>
    </w:pPr>
  </w:style>
  <w:style w:type="paragraph" w:styleId="10">
    <w:name w:val="Body Text Indent"/>
    <w:basedOn w:val="1"/>
    <w:next w:val="11"/>
    <w:autoRedefine/>
    <w:qFormat/>
    <w:uiPriority w:val="0"/>
    <w:pPr>
      <w:spacing w:after="120"/>
      <w:ind w:left="420" w:leftChars="200"/>
    </w:pPr>
  </w:style>
  <w:style w:type="paragraph" w:styleId="11">
    <w:name w:val="Body Text First Indent 2"/>
    <w:basedOn w:val="10"/>
    <w:next w:val="1"/>
    <w:link w:val="88"/>
    <w:autoRedefine/>
    <w:qFormat/>
    <w:uiPriority w:val="0"/>
    <w:pPr>
      <w:ind w:firstLine="420"/>
    </w:pPr>
  </w:style>
  <w:style w:type="paragraph" w:styleId="12">
    <w:name w:val="toa heading"/>
    <w:basedOn w:val="1"/>
    <w:next w:val="1"/>
    <w:autoRedefine/>
    <w:qFormat/>
    <w:uiPriority w:val="0"/>
    <w:pPr>
      <w:spacing w:before="120"/>
    </w:pPr>
    <w:rPr>
      <w:rFonts w:ascii="Arial" w:hAnsi="Arial"/>
    </w:rPr>
  </w:style>
  <w:style w:type="paragraph" w:styleId="13">
    <w:name w:val="annotation text"/>
    <w:basedOn w:val="1"/>
    <w:autoRedefine/>
    <w:qFormat/>
    <w:uiPriority w:val="0"/>
    <w:pPr>
      <w:jc w:val="left"/>
    </w:pPr>
  </w:style>
  <w:style w:type="paragraph" w:styleId="14">
    <w:name w:val="Body Text 3"/>
    <w:basedOn w:val="1"/>
    <w:autoRedefine/>
    <w:qFormat/>
    <w:uiPriority w:val="99"/>
    <w:rPr>
      <w:rFonts w:ascii="宋体" w:hAnsi="宋体" w:cs="宋体"/>
    </w:rPr>
  </w:style>
  <w:style w:type="paragraph" w:styleId="15">
    <w:name w:val="Body Text"/>
    <w:basedOn w:val="1"/>
    <w:next w:val="1"/>
    <w:link w:val="70"/>
    <w:autoRedefine/>
    <w:qFormat/>
    <w:uiPriority w:val="0"/>
    <w:pPr>
      <w:jc w:val="left"/>
    </w:pPr>
    <w:rPr>
      <w:bCs/>
    </w:rPr>
  </w:style>
  <w:style w:type="paragraph" w:styleId="16">
    <w:name w:val="List 2"/>
    <w:basedOn w:val="1"/>
    <w:autoRedefine/>
    <w:qFormat/>
    <w:uiPriority w:val="0"/>
    <w:pPr>
      <w:ind w:left="100" w:leftChars="200" w:hanging="200" w:hangingChars="200"/>
    </w:pPr>
  </w:style>
  <w:style w:type="paragraph" w:styleId="17">
    <w:name w:val="toc 5"/>
    <w:basedOn w:val="1"/>
    <w:next w:val="1"/>
    <w:autoRedefine/>
    <w:unhideWhenUsed/>
    <w:qFormat/>
    <w:uiPriority w:val="39"/>
    <w:pPr>
      <w:spacing w:line="240" w:lineRule="auto"/>
      <w:ind w:left="1680" w:leftChars="800" w:firstLine="0" w:firstLineChars="0"/>
    </w:pPr>
    <w:rPr>
      <w:rFonts w:asciiTheme="minorHAnsi" w:hAnsiTheme="minorHAnsi" w:eastAsiaTheme="minorEastAsia" w:cstheme="minorBidi"/>
      <w:sz w:val="21"/>
      <w:szCs w:val="22"/>
    </w:rPr>
  </w:style>
  <w:style w:type="paragraph" w:styleId="18">
    <w:name w:val="toc 3"/>
    <w:basedOn w:val="1"/>
    <w:next w:val="1"/>
    <w:autoRedefine/>
    <w:qFormat/>
    <w:uiPriority w:val="39"/>
    <w:pPr>
      <w:ind w:left="840" w:leftChars="400"/>
    </w:pPr>
  </w:style>
  <w:style w:type="paragraph" w:styleId="19">
    <w:name w:val="Plain Text"/>
    <w:basedOn w:val="1"/>
    <w:next w:val="1"/>
    <w:autoRedefine/>
    <w:qFormat/>
    <w:uiPriority w:val="99"/>
    <w:rPr>
      <w:rFonts w:ascii="宋体" w:hAnsi="Courier New" w:eastAsia="宋体" w:cs="宋体"/>
      <w:sz w:val="21"/>
      <w:szCs w:val="21"/>
    </w:rPr>
  </w:style>
  <w:style w:type="paragraph" w:styleId="20">
    <w:name w:val="toc 8"/>
    <w:basedOn w:val="1"/>
    <w:next w:val="1"/>
    <w:autoRedefine/>
    <w:unhideWhenUsed/>
    <w:qFormat/>
    <w:uiPriority w:val="39"/>
    <w:pPr>
      <w:spacing w:line="240" w:lineRule="auto"/>
      <w:ind w:left="2940" w:leftChars="1400" w:firstLine="0" w:firstLineChars="0"/>
    </w:pPr>
    <w:rPr>
      <w:rFonts w:asciiTheme="minorHAnsi" w:hAnsiTheme="minorHAnsi" w:eastAsiaTheme="minorEastAsia" w:cstheme="minorBidi"/>
      <w:sz w:val="21"/>
      <w:szCs w:val="22"/>
    </w:rPr>
  </w:style>
  <w:style w:type="paragraph" w:styleId="21">
    <w:name w:val="Date"/>
    <w:basedOn w:val="1"/>
    <w:next w:val="1"/>
    <w:autoRedefine/>
    <w:qFormat/>
    <w:uiPriority w:val="99"/>
    <w:pPr>
      <w:ind w:left="100"/>
    </w:pPr>
    <w:rPr>
      <w:rFonts w:ascii="Calibri" w:hAnsi="Calibri"/>
      <w:kern w:val="0"/>
      <w:sz w:val="20"/>
    </w:rPr>
  </w:style>
  <w:style w:type="paragraph" w:styleId="22">
    <w:name w:val="Body Text Indent 2"/>
    <w:basedOn w:val="1"/>
    <w:autoRedefine/>
    <w:qFormat/>
    <w:uiPriority w:val="0"/>
    <w:pPr>
      <w:spacing w:line="400" w:lineRule="atLeast"/>
      <w:ind w:firstLine="480"/>
    </w:pPr>
    <w:rPr>
      <w:rFonts w:ascii="宋体" w:hAnsi="宋体"/>
      <w:szCs w:val="20"/>
    </w:rPr>
  </w:style>
  <w:style w:type="paragraph" w:styleId="23">
    <w:name w:val="Balloon Text"/>
    <w:basedOn w:val="1"/>
    <w:link w:val="85"/>
    <w:autoRedefine/>
    <w:qFormat/>
    <w:uiPriority w:val="0"/>
    <w:pPr>
      <w:spacing w:line="240" w:lineRule="auto"/>
    </w:pPr>
    <w:rPr>
      <w:sz w:val="18"/>
      <w:szCs w:val="18"/>
    </w:rPr>
  </w:style>
  <w:style w:type="paragraph" w:styleId="24">
    <w:name w:val="footer"/>
    <w:basedOn w:val="1"/>
    <w:link w:val="87"/>
    <w:autoRedefine/>
    <w:qFormat/>
    <w:uiPriority w:val="99"/>
    <w:pPr>
      <w:tabs>
        <w:tab w:val="center" w:pos="4153"/>
        <w:tab w:val="right" w:pos="8306"/>
      </w:tabs>
      <w:snapToGrid w:val="0"/>
      <w:jc w:val="left"/>
    </w:pPr>
    <w:rPr>
      <w:sz w:val="18"/>
      <w:szCs w:val="18"/>
    </w:rPr>
  </w:style>
  <w:style w:type="paragraph" w:styleId="25">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szCs w:val="18"/>
    </w:rPr>
  </w:style>
  <w:style w:type="paragraph" w:styleId="26">
    <w:name w:val="toc 1"/>
    <w:basedOn w:val="1"/>
    <w:next w:val="1"/>
    <w:autoRedefine/>
    <w:qFormat/>
    <w:uiPriority w:val="39"/>
    <w:pPr>
      <w:spacing w:line="360" w:lineRule="auto"/>
    </w:pPr>
    <w:rPr>
      <w:rFonts w:eastAsia="宋体"/>
      <w:sz w:val="32"/>
      <w:szCs w:val="32"/>
    </w:rPr>
  </w:style>
  <w:style w:type="paragraph" w:styleId="27">
    <w:name w:val="toc 4"/>
    <w:basedOn w:val="1"/>
    <w:next w:val="1"/>
    <w:autoRedefine/>
    <w:unhideWhenUsed/>
    <w:qFormat/>
    <w:uiPriority w:val="39"/>
    <w:pPr>
      <w:spacing w:line="240" w:lineRule="auto"/>
      <w:ind w:left="1260" w:leftChars="600" w:firstLine="0" w:firstLineChars="0"/>
    </w:pPr>
    <w:rPr>
      <w:rFonts w:asciiTheme="minorHAnsi" w:hAnsiTheme="minorHAnsi" w:eastAsiaTheme="minorEastAsia" w:cstheme="minorBidi"/>
      <w:sz w:val="21"/>
      <w:szCs w:val="22"/>
    </w:rPr>
  </w:style>
  <w:style w:type="paragraph" w:styleId="28">
    <w:name w:val="List"/>
    <w:basedOn w:val="1"/>
    <w:autoRedefine/>
    <w:qFormat/>
    <w:uiPriority w:val="0"/>
    <w:pPr>
      <w:ind w:left="200" w:hanging="200" w:hangingChars="200"/>
    </w:pPr>
    <w:rPr>
      <w:rFonts w:ascii="仿宋_GB2312" w:eastAsia="仿宋_GB2312"/>
      <w:sz w:val="28"/>
      <w:szCs w:val="28"/>
    </w:rPr>
  </w:style>
  <w:style w:type="paragraph" w:styleId="29">
    <w:name w:val="toc 6"/>
    <w:basedOn w:val="1"/>
    <w:next w:val="1"/>
    <w:autoRedefine/>
    <w:unhideWhenUsed/>
    <w:qFormat/>
    <w:uiPriority w:val="39"/>
    <w:pPr>
      <w:spacing w:line="240" w:lineRule="auto"/>
      <w:ind w:left="2100" w:leftChars="1000" w:firstLine="0" w:firstLineChars="0"/>
    </w:pPr>
    <w:rPr>
      <w:rFonts w:asciiTheme="minorHAnsi" w:hAnsiTheme="minorHAnsi" w:eastAsiaTheme="minorEastAsia" w:cstheme="minorBidi"/>
      <w:sz w:val="21"/>
      <w:szCs w:val="22"/>
    </w:rPr>
  </w:style>
  <w:style w:type="paragraph" w:styleId="30">
    <w:name w:val="Body Text Indent 3"/>
    <w:basedOn w:val="1"/>
    <w:autoRedefine/>
    <w:qFormat/>
    <w:uiPriority w:val="0"/>
    <w:pPr>
      <w:spacing w:line="360" w:lineRule="auto"/>
      <w:ind w:left="220"/>
      <w:jc w:val="left"/>
    </w:pPr>
    <w:rPr>
      <w:rFonts w:ascii="仿宋_GB2312" w:eastAsia="仿宋_GB2312"/>
      <w:color w:val="000000"/>
    </w:rPr>
  </w:style>
  <w:style w:type="paragraph" w:styleId="31">
    <w:name w:val="toc 2"/>
    <w:basedOn w:val="1"/>
    <w:next w:val="1"/>
    <w:autoRedefine/>
    <w:qFormat/>
    <w:uiPriority w:val="39"/>
    <w:pPr>
      <w:ind w:left="210"/>
      <w:jc w:val="left"/>
    </w:pPr>
    <w:rPr>
      <w:rFonts w:ascii="??_GB2312" w:eastAsia="Times New Roman" w:cs="??_GB2312"/>
      <w:smallCaps/>
      <w:sz w:val="20"/>
      <w:szCs w:val="20"/>
    </w:rPr>
  </w:style>
  <w:style w:type="paragraph" w:styleId="32">
    <w:name w:val="toc 9"/>
    <w:basedOn w:val="1"/>
    <w:next w:val="1"/>
    <w:autoRedefine/>
    <w:unhideWhenUsed/>
    <w:qFormat/>
    <w:uiPriority w:val="39"/>
    <w:pPr>
      <w:spacing w:line="240" w:lineRule="auto"/>
      <w:ind w:left="3360" w:leftChars="1600" w:firstLine="0" w:firstLineChars="0"/>
    </w:pPr>
    <w:rPr>
      <w:rFonts w:asciiTheme="minorHAnsi" w:hAnsiTheme="minorHAnsi" w:eastAsiaTheme="minorEastAsia" w:cstheme="minorBidi"/>
      <w:sz w:val="21"/>
      <w:szCs w:val="22"/>
    </w:rPr>
  </w:style>
  <w:style w:type="paragraph" w:styleId="33">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style>
  <w:style w:type="paragraph" w:styleId="34">
    <w:name w:val="Normal (Web)"/>
    <w:basedOn w:val="1"/>
    <w:autoRedefine/>
    <w:qFormat/>
    <w:uiPriority w:val="0"/>
    <w:pPr>
      <w:widowControl/>
      <w:spacing w:before="100" w:beforeAutospacing="1" w:after="100" w:afterAutospacing="1"/>
      <w:jc w:val="left"/>
    </w:pPr>
    <w:rPr>
      <w:rFonts w:ascii="宋体" w:hAnsi="宋体"/>
      <w:kern w:val="0"/>
    </w:rPr>
  </w:style>
  <w:style w:type="paragraph" w:styleId="35">
    <w:name w:val="Title"/>
    <w:basedOn w:val="1"/>
    <w:next w:val="1"/>
    <w:autoRedefine/>
    <w:qFormat/>
    <w:uiPriority w:val="99"/>
    <w:pPr>
      <w:jc w:val="center"/>
    </w:pPr>
    <w:rPr>
      <w:rFonts w:ascii="Arial" w:hAnsi="Arial" w:eastAsia="宋体" w:cs="Arial"/>
      <w:b/>
      <w:bCs/>
      <w:kern w:val="0"/>
      <w:sz w:val="36"/>
      <w:szCs w:val="36"/>
      <w:lang w:eastAsia="en-US"/>
    </w:rPr>
  </w:style>
  <w:style w:type="paragraph" w:styleId="36">
    <w:name w:val="Body Text First Indent"/>
    <w:basedOn w:val="15"/>
    <w:next w:val="1"/>
    <w:autoRedefine/>
    <w:qFormat/>
    <w:uiPriority w:val="0"/>
    <w:pPr>
      <w:ind w:firstLine="420" w:firstLineChars="100"/>
    </w:pPr>
  </w:style>
  <w:style w:type="table" w:styleId="38">
    <w:name w:val="Table Grid"/>
    <w:basedOn w:val="3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page number"/>
    <w:basedOn w:val="39"/>
    <w:autoRedefine/>
    <w:qFormat/>
    <w:uiPriority w:val="0"/>
  </w:style>
  <w:style w:type="character" w:styleId="41">
    <w:name w:val="Hyperlink"/>
    <w:basedOn w:val="39"/>
    <w:autoRedefine/>
    <w:qFormat/>
    <w:uiPriority w:val="99"/>
    <w:rPr>
      <w:color w:val="0000FF"/>
      <w:u w:val="single"/>
    </w:rPr>
  </w:style>
  <w:style w:type="paragraph" w:customStyle="1" w:styleId="42">
    <w:name w:val="xl53"/>
    <w:basedOn w:val="1"/>
    <w:next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kern w:val="0"/>
      <w:sz w:val="20"/>
      <w:szCs w:val="20"/>
    </w:rPr>
  </w:style>
  <w:style w:type="paragraph" w:customStyle="1" w:styleId="43">
    <w:name w:val="文章正文"/>
    <w:basedOn w:val="1"/>
    <w:next w:val="44"/>
    <w:autoRedefine/>
    <w:qFormat/>
    <w:uiPriority w:val="0"/>
    <w:pPr>
      <w:tabs>
        <w:tab w:val="left" w:pos="0"/>
      </w:tabs>
      <w:spacing w:line="360" w:lineRule="auto"/>
      <w:ind w:firstLine="200"/>
    </w:pPr>
    <w:rPr>
      <w:rFonts w:eastAsia="宋体" w:cs="宋体"/>
    </w:rPr>
  </w:style>
  <w:style w:type="paragraph" w:customStyle="1" w:styleId="44">
    <w:name w:val="公式样式 变量"/>
    <w:autoRedefine/>
    <w:qFormat/>
    <w:uiPriority w:val="0"/>
    <w:rPr>
      <w:rFonts w:ascii="Times New Roman" w:hAnsi="Times New Roman" w:eastAsia="宋体" w:cs="Times New Roman"/>
      <w:i/>
      <w:lang w:val="en-US" w:eastAsia="zh-CN" w:bidi="ar-SA"/>
    </w:rPr>
  </w:style>
  <w:style w:type="paragraph" w:customStyle="1" w:styleId="45">
    <w:name w:val="正文-小四"/>
    <w:basedOn w:val="1"/>
    <w:autoRedefine/>
    <w:qFormat/>
    <w:uiPriority w:val="99"/>
    <w:pPr>
      <w:widowControl/>
      <w:spacing w:beforeLines="30" w:afterLines="30" w:line="480" w:lineRule="atLeast"/>
      <w:ind w:firstLine="520"/>
    </w:pPr>
    <w:rPr>
      <w:rFonts w:ascii="宋体" w:hAnsi="宋体" w:cs="宋体"/>
      <w:bCs/>
      <w:spacing w:val="10"/>
      <w:kern w:val="10"/>
      <w:position w:val="1"/>
      <w:szCs w:val="32"/>
    </w:rPr>
  </w:style>
  <w:style w:type="paragraph" w:customStyle="1" w:styleId="46">
    <w:name w:val="表格文字"/>
    <w:basedOn w:val="1"/>
    <w:next w:val="15"/>
    <w:autoRedefine/>
    <w:qFormat/>
    <w:uiPriority w:val="0"/>
    <w:pPr>
      <w:adjustRightInd w:val="0"/>
      <w:spacing w:line="420" w:lineRule="atLeast"/>
      <w:jc w:val="left"/>
      <w:textAlignment w:val="baseline"/>
    </w:pPr>
    <w:rPr>
      <w:kern w:val="0"/>
    </w:rPr>
  </w:style>
  <w:style w:type="paragraph" w:customStyle="1" w:styleId="47">
    <w:name w:val="BodyText1I2"/>
    <w:basedOn w:val="1"/>
    <w:autoRedefine/>
    <w:qFormat/>
    <w:uiPriority w:val="0"/>
    <w:pPr>
      <w:spacing w:after="120"/>
      <w:ind w:left="420" w:leftChars="200" w:hanging="200" w:hangingChars="200"/>
    </w:pPr>
    <w:rPr>
      <w:kern w:val="0"/>
      <w:szCs w:val="21"/>
    </w:rPr>
  </w:style>
  <w:style w:type="paragraph" w:customStyle="1" w:styleId="48">
    <w:name w:val="[Normal]"/>
    <w:autoRedefine/>
    <w:qFormat/>
    <w:uiPriority w:val="0"/>
    <w:rPr>
      <w:rFonts w:ascii="宋体" w:hAnsi="宋体" w:eastAsia="宋体" w:cs="Times New Roman"/>
      <w:sz w:val="24"/>
      <w:szCs w:val="22"/>
      <w:lang w:val="zh-CN" w:eastAsia="zh-CN" w:bidi="ar-SA"/>
    </w:rPr>
  </w:style>
  <w:style w:type="paragraph" w:customStyle="1" w:styleId="49">
    <w:name w:val="样式 表格正文 + 两端对齐"/>
    <w:basedOn w:val="1"/>
    <w:next w:val="50"/>
    <w:autoRedefine/>
    <w:qFormat/>
    <w:uiPriority w:val="0"/>
    <w:pPr>
      <w:spacing w:line="300" w:lineRule="auto"/>
      <w:ind w:firstLine="0"/>
    </w:pPr>
    <w:rPr>
      <w:rFonts w:eastAsia="宋体"/>
    </w:rPr>
  </w:style>
  <w:style w:type="paragraph" w:customStyle="1" w:styleId="50">
    <w:name w:val="正文1"/>
    <w:basedOn w:val="18"/>
    <w:next w:val="51"/>
    <w:autoRedefine/>
    <w:qFormat/>
    <w:uiPriority w:val="0"/>
    <w:pPr>
      <w:widowControl/>
      <w:snapToGrid w:val="0"/>
      <w:ind w:firstLine="567"/>
    </w:pPr>
    <w:rPr>
      <w:rFonts w:ascii="楷体_GB2312" w:eastAsia="楷体_GB2312"/>
      <w:kern w:val="0"/>
      <w:sz w:val="28"/>
      <w:szCs w:val="20"/>
    </w:rPr>
  </w:style>
  <w:style w:type="paragraph" w:customStyle="1" w:styleId="51">
    <w:name w:val="自动更正"/>
    <w:next w:val="5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xl39"/>
    <w:basedOn w:val="1"/>
    <w:next w:val="53"/>
    <w:autoRedefine/>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5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54">
    <w:name w:val="_Style 2"/>
    <w:basedOn w:val="1"/>
    <w:autoRedefine/>
    <w:qFormat/>
    <w:uiPriority w:val="0"/>
    <w:pPr>
      <w:ind w:firstLine="200"/>
    </w:pPr>
    <w:rPr>
      <w:rFonts w:ascii="Calibri" w:hAnsi="Calibri"/>
      <w:sz w:val="28"/>
      <w:szCs w:val="22"/>
    </w:rPr>
  </w:style>
  <w:style w:type="paragraph" w:customStyle="1" w:styleId="55">
    <w:name w:val="普通(网站)1"/>
    <w:basedOn w:val="1"/>
    <w:autoRedefine/>
    <w:qFormat/>
    <w:uiPriority w:val="99"/>
    <w:pPr>
      <w:widowControl/>
      <w:spacing w:beforeAutospacing="1" w:afterAutospacing="1"/>
      <w:jc w:val="left"/>
    </w:pPr>
    <w:rPr>
      <w:rFonts w:ascii="宋体" w:hAnsi="宋体" w:cs="宋体"/>
      <w:kern w:val="0"/>
    </w:rPr>
  </w:style>
  <w:style w:type="paragraph" w:customStyle="1" w:styleId="56">
    <w:name w:val="Proposals body"/>
    <w:basedOn w:val="1"/>
    <w:next w:val="1"/>
    <w:autoRedefine/>
    <w:qFormat/>
    <w:uiPriority w:val="99"/>
    <w:pPr>
      <w:widowControl/>
      <w:spacing w:line="360" w:lineRule="auto"/>
      <w:jc w:val="left"/>
    </w:pPr>
    <w:rPr>
      <w:rFonts w:ascii="宋体" w:eastAsia="Times New Roman" w:cs="宋体"/>
      <w:color w:val="000000"/>
      <w:kern w:val="0"/>
    </w:rPr>
  </w:style>
  <w:style w:type="paragraph" w:customStyle="1" w:styleId="57">
    <w:name w:val="样式1"/>
    <w:basedOn w:val="4"/>
    <w:autoRedefine/>
    <w:qFormat/>
    <w:uiPriority w:val="99"/>
    <w:pPr>
      <w:spacing w:line="415" w:lineRule="auto"/>
    </w:pPr>
    <w:rPr>
      <w:sz w:val="36"/>
      <w:szCs w:val="36"/>
    </w:rPr>
  </w:style>
  <w:style w:type="paragraph" w:customStyle="1" w:styleId="58">
    <w:name w:val="Char"/>
    <w:basedOn w:val="1"/>
    <w:autoRedefine/>
    <w:qFormat/>
    <w:uiPriority w:val="99"/>
    <w:rPr>
      <w:rFonts w:ascii="??_GB2312" w:eastAsia="Times New Roman" w:cs="??_GB2312"/>
      <w:b/>
      <w:bCs/>
      <w:sz w:val="32"/>
      <w:szCs w:val="32"/>
    </w:rPr>
  </w:style>
  <w:style w:type="paragraph" w:customStyle="1" w:styleId="59">
    <w:name w:val="reader-word-layer reader-word-s26-10"/>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0">
    <w:name w:val="reader-word-layer reader-word-s27-4"/>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1">
    <w:name w:val="reader-word-layer reader-word-s27-6"/>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2">
    <w:name w:val="reader-word-layer reader-word-s27-7"/>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3">
    <w:name w:val="reader-word-layer reader-word-s27-8"/>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4">
    <w:name w:val="reader-word-layer reader-word-s27-9"/>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5">
    <w:name w:val="reader-word-layer reader-word-s27-15"/>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66">
    <w:name w:val="DG正文"/>
    <w:basedOn w:val="1"/>
    <w:autoRedefine/>
    <w:qFormat/>
    <w:uiPriority w:val="0"/>
    <w:pPr>
      <w:widowControl/>
      <w:spacing w:line="360" w:lineRule="auto"/>
      <w:ind w:right="142" w:firstLine="640"/>
      <w:jc w:val="left"/>
    </w:pPr>
    <w:rPr>
      <w:rFonts w:ascii="Calibri" w:hAnsi="Calibri" w:cs="Calibri"/>
    </w:rPr>
  </w:style>
  <w:style w:type="character" w:customStyle="1" w:styleId="67">
    <w:name w:val="标题 2 字符"/>
    <w:basedOn w:val="39"/>
    <w:link w:val="4"/>
    <w:autoRedefine/>
    <w:qFormat/>
    <w:uiPriority w:val="0"/>
    <w:rPr>
      <w:rFonts w:ascii="Arial" w:hAnsi="Arial" w:eastAsia="仿宋" w:cs="Times New Roman"/>
      <w:b/>
      <w:bCs/>
      <w:sz w:val="30"/>
      <w:szCs w:val="32"/>
    </w:rPr>
  </w:style>
  <w:style w:type="character" w:customStyle="1" w:styleId="68">
    <w:name w:val="标题 3 字符"/>
    <w:link w:val="2"/>
    <w:autoRedefine/>
    <w:qFormat/>
    <w:uiPriority w:val="9"/>
    <w:rPr>
      <w:rFonts w:ascii="仿宋_GB2312" w:hAnsi="仿宋_GB2312" w:eastAsia="仿宋" w:cs="黑体"/>
      <w:b/>
      <w:bCs/>
      <w:sz w:val="24"/>
      <w:szCs w:val="20"/>
    </w:rPr>
  </w:style>
  <w:style w:type="character" w:customStyle="1" w:styleId="69">
    <w:name w:val="标题 1 字符"/>
    <w:basedOn w:val="39"/>
    <w:link w:val="3"/>
    <w:autoRedefine/>
    <w:qFormat/>
    <w:locked/>
    <w:uiPriority w:val="99"/>
    <w:rPr>
      <w:rFonts w:ascii="Times New Roman" w:hAnsi="Times New Roman" w:eastAsia="仿宋"/>
      <w:b/>
      <w:bCs/>
      <w:kern w:val="2"/>
      <w:sz w:val="44"/>
      <w:szCs w:val="24"/>
    </w:rPr>
  </w:style>
  <w:style w:type="character" w:customStyle="1" w:styleId="70">
    <w:name w:val="正文文本 字符"/>
    <w:basedOn w:val="39"/>
    <w:link w:val="15"/>
    <w:autoRedefine/>
    <w:semiHidden/>
    <w:qFormat/>
    <w:locked/>
    <w:uiPriority w:val="99"/>
    <w:rPr>
      <w:rFonts w:ascii="Calibri" w:hAnsi="Calibri" w:eastAsia="仿宋" w:cs="Times New Roman"/>
      <w:sz w:val="24"/>
    </w:rPr>
  </w:style>
  <w:style w:type="character" w:customStyle="1" w:styleId="71">
    <w:name w:val="large1"/>
    <w:autoRedefine/>
    <w:qFormat/>
    <w:uiPriority w:val="99"/>
    <w:rPr>
      <w:rFonts w:ascii="宋体" w:hAnsi="宋体" w:eastAsia="宋体" w:cs="宋体"/>
      <w:sz w:val="21"/>
      <w:szCs w:val="21"/>
    </w:rPr>
  </w:style>
  <w:style w:type="paragraph" w:customStyle="1" w:styleId="7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3">
    <w:name w:val="ca-32"/>
    <w:basedOn w:val="39"/>
    <w:autoRedefine/>
    <w:qFormat/>
    <w:uiPriority w:val="0"/>
    <w:rPr>
      <w:rFonts w:ascii="Calibri" w:hAnsi="Calibri" w:eastAsia="宋体" w:cs="Times New Roman"/>
    </w:rPr>
  </w:style>
  <w:style w:type="paragraph" w:customStyle="1" w:styleId="74">
    <w:name w:val="Normal Indent1"/>
    <w:basedOn w:val="1"/>
    <w:autoRedefine/>
    <w:qFormat/>
    <w:uiPriority w:val="0"/>
    <w:pPr>
      <w:ind w:firstLine="420"/>
    </w:pPr>
  </w:style>
  <w:style w:type="paragraph" w:customStyle="1" w:styleId="75">
    <w:name w:val="Table Paragraph"/>
    <w:basedOn w:val="1"/>
    <w:autoRedefine/>
    <w:qFormat/>
    <w:uiPriority w:val="1"/>
  </w:style>
  <w:style w:type="paragraph" w:customStyle="1" w:styleId="76">
    <w:name w:val="正文缩进2格"/>
    <w:basedOn w:val="1"/>
    <w:autoRedefine/>
    <w:qFormat/>
    <w:uiPriority w:val="0"/>
    <w:pPr>
      <w:spacing w:line="600" w:lineRule="exact"/>
      <w:ind w:firstLine="639" w:firstLineChars="206"/>
    </w:pPr>
    <w:rPr>
      <w:rFonts w:ascii="仿宋_GB2312" w:hAnsi="宋体" w:eastAsia="仿宋_GB2312"/>
      <w:sz w:val="31"/>
      <w:szCs w:val="28"/>
    </w:rPr>
  </w:style>
  <w:style w:type="paragraph" w:customStyle="1" w:styleId="77">
    <w:name w:val="CM18"/>
    <w:basedOn w:val="72"/>
    <w:next w:val="72"/>
    <w:autoRedefine/>
    <w:qFormat/>
    <w:uiPriority w:val="99"/>
    <w:pPr>
      <w:spacing w:after="523"/>
    </w:pPr>
    <w:rPr>
      <w:rFonts w:ascii="仿宋" w:hAnsi="Calibri" w:eastAsia="仿宋" w:cs="Times New Roman"/>
      <w:color w:val="auto"/>
    </w:rPr>
  </w:style>
  <w:style w:type="paragraph" w:customStyle="1" w:styleId="78">
    <w:name w:val="CM11"/>
    <w:basedOn w:val="72"/>
    <w:next w:val="72"/>
    <w:autoRedefine/>
    <w:qFormat/>
    <w:uiPriority w:val="99"/>
    <w:pPr>
      <w:spacing w:line="520" w:lineRule="atLeast"/>
    </w:pPr>
    <w:rPr>
      <w:rFonts w:ascii="仿宋" w:hAnsi="Calibri" w:eastAsia="仿宋" w:cs="Times New Roman"/>
      <w:color w:val="auto"/>
    </w:rPr>
  </w:style>
  <w:style w:type="paragraph" w:customStyle="1" w:styleId="79">
    <w:name w:val="CM17"/>
    <w:basedOn w:val="72"/>
    <w:next w:val="72"/>
    <w:autoRedefine/>
    <w:qFormat/>
    <w:uiPriority w:val="99"/>
    <w:pPr>
      <w:spacing w:after="160"/>
    </w:pPr>
    <w:rPr>
      <w:rFonts w:ascii="仿宋" w:hAnsi="Calibri" w:eastAsia="仿宋" w:cs="Times New Roman"/>
      <w:color w:val="auto"/>
    </w:rPr>
  </w:style>
  <w:style w:type="paragraph" w:styleId="80">
    <w:name w:val="List Paragraph"/>
    <w:basedOn w:val="1"/>
    <w:autoRedefine/>
    <w:qFormat/>
    <w:uiPriority w:val="99"/>
    <w:pPr>
      <w:ind w:firstLine="420"/>
    </w:pPr>
  </w:style>
  <w:style w:type="paragraph" w:customStyle="1" w:styleId="81">
    <w:name w:val="列出段落4"/>
    <w:basedOn w:val="1"/>
    <w:autoRedefine/>
    <w:qFormat/>
    <w:uiPriority w:val="0"/>
    <w:pPr>
      <w:ind w:firstLine="420"/>
    </w:pPr>
    <w:rPr>
      <w:rFonts w:ascii="Calibri" w:hAnsi="Calibri"/>
      <w:szCs w:val="22"/>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84">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85">
    <w:name w:val="批注框文本 字符"/>
    <w:basedOn w:val="39"/>
    <w:link w:val="23"/>
    <w:autoRedefine/>
    <w:qFormat/>
    <w:uiPriority w:val="0"/>
    <w:rPr>
      <w:rFonts w:eastAsia="仿宋"/>
      <w:kern w:val="2"/>
      <w:sz w:val="18"/>
      <w:szCs w:val="18"/>
    </w:rPr>
  </w:style>
  <w:style w:type="paragraph" w:customStyle="1" w:styleId="86">
    <w:name w:val="默认段落字体 Para Char Char Char Char Char Char Char"/>
    <w:basedOn w:val="1"/>
    <w:autoRedefine/>
    <w:qFormat/>
    <w:uiPriority w:val="0"/>
    <w:pPr>
      <w:spacing w:line="240" w:lineRule="auto"/>
      <w:ind w:firstLine="0" w:firstLineChars="0"/>
    </w:pPr>
    <w:rPr>
      <w:rFonts w:eastAsia="宋体"/>
      <w:sz w:val="21"/>
      <w:szCs w:val="20"/>
    </w:rPr>
  </w:style>
  <w:style w:type="character" w:customStyle="1" w:styleId="87">
    <w:name w:val="页脚 字符"/>
    <w:basedOn w:val="39"/>
    <w:link w:val="24"/>
    <w:autoRedefine/>
    <w:qFormat/>
    <w:uiPriority w:val="99"/>
    <w:rPr>
      <w:rFonts w:eastAsia="仿宋"/>
      <w:kern w:val="2"/>
      <w:sz w:val="18"/>
      <w:szCs w:val="18"/>
    </w:rPr>
  </w:style>
  <w:style w:type="character" w:customStyle="1" w:styleId="88">
    <w:name w:val="正文文本首行缩进 2 字符"/>
    <w:basedOn w:val="39"/>
    <w:link w:val="11"/>
    <w:autoRedefine/>
    <w:qFormat/>
    <w:uiPriority w:val="0"/>
    <w:rPr>
      <w:rFonts w:eastAsia="仿宋"/>
      <w:kern w:val="2"/>
      <w:sz w:val="24"/>
      <w:szCs w:val="24"/>
    </w:rPr>
  </w:style>
  <w:style w:type="paragraph" w:customStyle="1" w:styleId="89">
    <w:name w:val="列出段落1"/>
    <w:basedOn w:val="1"/>
    <w:autoRedefine/>
    <w:qFormat/>
    <w:uiPriority w:val="34"/>
    <w:pPr>
      <w:ind w:firstLine="420"/>
    </w:pPr>
  </w:style>
  <w:style w:type="paragraph" w:customStyle="1" w:styleId="90">
    <w:name w:val="Heading #1|1"/>
    <w:basedOn w:val="1"/>
    <w:autoRedefine/>
    <w:qFormat/>
    <w:uiPriority w:val="0"/>
    <w:pPr>
      <w:spacing w:after="380" w:line="533" w:lineRule="exact"/>
      <w:jc w:val="center"/>
      <w:outlineLvl w:val="0"/>
    </w:pPr>
    <w:rPr>
      <w:rFonts w:ascii="宋体" w:hAnsi="宋体" w:eastAsia="宋体" w:cs="宋体"/>
      <w:color w:val="0B3631"/>
      <w:sz w:val="32"/>
      <w:szCs w:val="32"/>
      <w:lang w:val="zh-TW" w:eastAsia="zh-TW" w:bidi="zh-TW"/>
    </w:rPr>
  </w:style>
  <w:style w:type="paragraph" w:customStyle="1" w:styleId="91">
    <w:name w:val="Heading #2|1"/>
    <w:basedOn w:val="1"/>
    <w:autoRedefine/>
    <w:qFormat/>
    <w:uiPriority w:val="0"/>
    <w:pPr>
      <w:outlineLvl w:val="1"/>
    </w:pPr>
    <w:rPr>
      <w:rFonts w:ascii="宋体" w:hAnsi="宋体" w:eastAsia="宋体" w:cs="宋体"/>
      <w:b/>
      <w:bCs/>
      <w:sz w:val="32"/>
      <w:szCs w:val="32"/>
      <w:lang w:val="zh-TW" w:eastAsia="zh-TW" w:bidi="zh-TW"/>
    </w:rPr>
  </w:style>
  <w:style w:type="paragraph" w:customStyle="1" w:styleId="92">
    <w:name w:val="Body text|1"/>
    <w:basedOn w:val="1"/>
    <w:autoRedefine/>
    <w:qFormat/>
    <w:uiPriority w:val="0"/>
    <w:pPr>
      <w:spacing w:after="320"/>
    </w:pPr>
    <w:rPr>
      <w:rFonts w:ascii="宋体" w:hAnsi="宋体" w:eastAsia="宋体" w:cs="宋体"/>
      <w:lang w:val="zh-TW" w:eastAsia="zh-TW" w:bidi="zh-TW"/>
    </w:rPr>
  </w:style>
  <w:style w:type="character" w:customStyle="1" w:styleId="93">
    <w:name w:val="font11"/>
    <w:basedOn w:val="39"/>
    <w:autoRedefine/>
    <w:qFormat/>
    <w:uiPriority w:val="0"/>
    <w:rPr>
      <w:rFonts w:hint="eastAsia" w:ascii="宋体" w:hAnsi="宋体" w:eastAsia="宋体" w:cs="宋体"/>
      <w:color w:val="000000"/>
      <w:sz w:val="22"/>
      <w:szCs w:val="22"/>
      <w:u w:val="none"/>
    </w:rPr>
  </w:style>
  <w:style w:type="character" w:customStyle="1" w:styleId="94">
    <w:name w:val="font01"/>
    <w:basedOn w:val="39"/>
    <w:autoRedefine/>
    <w:qFormat/>
    <w:uiPriority w:val="0"/>
    <w:rPr>
      <w:rFonts w:hint="default" w:ascii="Tahoma" w:hAnsi="Tahoma" w:eastAsia="Tahoma" w:cs="Tahoma"/>
      <w:color w:val="000000"/>
      <w:sz w:val="22"/>
      <w:szCs w:val="22"/>
      <w:u w:val="none"/>
    </w:rPr>
  </w:style>
  <w:style w:type="paragraph" w:customStyle="1" w:styleId="95">
    <w:name w:val="章正文"/>
    <w:basedOn w:val="1"/>
    <w:autoRedefine/>
    <w:qFormat/>
    <w:uiPriority w:val="99"/>
    <w:pPr>
      <w:spacing w:beforeLines="50" w:after="120" w:line="300" w:lineRule="auto"/>
      <w:ind w:firstLine="480"/>
    </w:pPr>
    <w:rPr>
      <w:rFonts w:ascii="Helvetica" w:hAnsi="Helvetica"/>
      <w:kern w:val="0"/>
    </w:rPr>
  </w:style>
  <w:style w:type="character" w:customStyle="1" w:styleId="96">
    <w:name w:val="标题 1 Char Char"/>
    <w:basedOn w:val="39"/>
    <w:autoRedefine/>
    <w:qFormat/>
    <w:uiPriority w:val="99"/>
    <w:rPr>
      <w:rFonts w:ascii="仿宋_GB2312" w:eastAsia="宋体" w:cs="Times New Roman"/>
      <w:spacing w:val="-2"/>
      <w:sz w:val="32"/>
      <w:lang w:val="en-US" w:eastAsia="zh-CN"/>
    </w:rPr>
  </w:style>
  <w:style w:type="paragraph" w:customStyle="1" w:styleId="97">
    <w:name w:val="+正文 Char Char Char"/>
    <w:basedOn w:val="1"/>
    <w:autoRedefine/>
    <w:qFormat/>
    <w:uiPriority w:val="0"/>
    <w:pPr>
      <w:ind w:firstLine="200"/>
    </w:pPr>
  </w:style>
  <w:style w:type="paragraph" w:customStyle="1" w:styleId="98">
    <w:name w:val="普通(网站)_0"/>
    <w:basedOn w:val="1"/>
    <w:autoRedefine/>
    <w:unhideWhenUsed/>
    <w:qFormat/>
    <w:uiPriority w:val="0"/>
    <w:pPr>
      <w:widowControl/>
      <w:spacing w:before="100" w:beforeAutospacing="1" w:after="100" w:afterAutospacing="1"/>
      <w:jc w:val="left"/>
    </w:pPr>
    <w:rPr>
      <w:rFonts w:ascii="宋体" w:hAnsi="宋体"/>
      <w:kern w:val="0"/>
      <w:szCs w:val="22"/>
    </w:rPr>
  </w:style>
  <w:style w:type="paragraph" w:customStyle="1" w:styleId="99">
    <w:name w:val="Fließtext"/>
    <w:basedOn w:val="1"/>
    <w:autoRedefine/>
    <w:qFormat/>
    <w:uiPriority w:val="0"/>
    <w:pPr>
      <w:tabs>
        <w:tab w:val="left" w:pos="482"/>
        <w:tab w:val="left" w:pos="2183"/>
        <w:tab w:val="left" w:pos="3884"/>
        <w:tab w:val="left" w:pos="5585"/>
      </w:tabs>
      <w:overflowPunct w:val="0"/>
      <w:autoSpaceDE w:val="0"/>
      <w:textAlignment w:val="baseline"/>
    </w:pPr>
    <w:rPr>
      <w:szCs w:val="20"/>
    </w:rPr>
  </w:style>
  <w:style w:type="table" w:customStyle="1" w:styleId="100">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01">
    <w:name w:val="新表格样式"/>
    <w:basedOn w:val="1"/>
    <w:autoRedefine/>
    <w:qFormat/>
    <w:uiPriority w:val="0"/>
    <w:pPr>
      <w:autoSpaceDE w:val="0"/>
      <w:autoSpaceDN w:val="0"/>
      <w:adjustRightInd w:val="0"/>
      <w:snapToGrid w:val="0"/>
      <w:jc w:val="center"/>
    </w:pPr>
    <w:rPr>
      <w:sz w:val="24"/>
      <w:szCs w:val="21"/>
    </w:rPr>
  </w:style>
  <w:style w:type="character" w:customStyle="1" w:styleId="102">
    <w:name w:val="font21"/>
    <w:basedOn w:val="39"/>
    <w:autoRedefine/>
    <w:qFormat/>
    <w:uiPriority w:val="0"/>
    <w:rPr>
      <w:rFonts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7EA6CF-BF84-4F0A-91EC-E9AEA4342026}">
  <ds:schemaRefs/>
</ds:datastoreItem>
</file>

<file path=docProps/app.xml><?xml version="1.0" encoding="utf-8"?>
<Properties xmlns="http://schemas.openxmlformats.org/officeDocument/2006/extended-properties" xmlns:vt="http://schemas.openxmlformats.org/officeDocument/2006/docPropsVTypes">
  <Template>Normal.dotm</Template>
  <Manager>Abu设计</Manager>
  <Company>Abu设计</Company>
  <Pages>55</Pages>
  <Words>19961</Words>
  <Characters>21075</Characters>
  <Lines>274</Lines>
  <Paragraphs>77</Paragraphs>
  <TotalTime>13</TotalTime>
  <ScaleCrop>false</ScaleCrop>
  <LinksUpToDate>false</LinksUpToDate>
  <CharactersWithSpaces>21653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信纸</cp:category>
  <dcterms:created xsi:type="dcterms:W3CDTF">2023-03-01T03:53:00Z</dcterms:created>
  <dc:creator>Abu设计</dc:creator>
  <dc:description>更多Abu设计的信纸请访问
http://chn.docer.com/works?userid=415014680
谢谢支持</dc:description>
  <cp:keywords>信纸 信笺背景</cp:keywords>
  <cp:lastModifiedBy>龙游邵</cp:lastModifiedBy>
  <cp:lastPrinted>2023-10-09T02:18:00Z</cp:lastPrinted>
  <dcterms:modified xsi:type="dcterms:W3CDTF">2025-07-28T03:12:00Z</dcterms:modified>
  <dc:subject>信纸</dc:subject>
  <dc:title>信纸-Abu设计</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07FBBC70F4604FADABAE6BBC503DD542_13</vt:lpwstr>
  </property>
  <property fmtid="{D5CDD505-2E9C-101B-9397-08002B2CF9AE}" pid="4" name="KSOTemplateDocerSaveRecord">
    <vt:lpwstr>eyJoZGlkIjoiZTUyZWU5YmY3MzE2NDY5ZTk4OTViMTFmZDZmZTY2OWIiLCJ1c2VySWQiOiIzMjk1OTE3MDUifQ==</vt:lpwstr>
  </property>
</Properties>
</file>